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12.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826690">
      <w:pPr>
        <w:spacing w:line="660" w:lineRule="exact"/>
        <w:jc w:val="center"/>
        <w:rPr>
          <w:rFonts w:ascii="宋体" w:hAnsi="宋体" w:cs="宋体"/>
          <w:b/>
          <w:bCs/>
          <w:kern w:val="0"/>
          <w:sz w:val="44"/>
          <w:szCs w:val="44"/>
        </w:rPr>
      </w:pPr>
    </w:p>
    <w:p w14:paraId="0B21C98B">
      <w:pPr>
        <w:spacing w:line="660" w:lineRule="exact"/>
        <w:jc w:val="center"/>
        <w:rPr>
          <w:rFonts w:ascii="宋体" w:hAnsi="宋体" w:cs="宋体"/>
          <w:b/>
          <w:bCs/>
          <w:kern w:val="0"/>
          <w:sz w:val="44"/>
          <w:szCs w:val="44"/>
        </w:rPr>
      </w:pPr>
    </w:p>
    <w:p w14:paraId="7771B6E7">
      <w:pPr>
        <w:spacing w:line="660" w:lineRule="exact"/>
        <w:jc w:val="center"/>
        <w:rPr>
          <w:rFonts w:ascii="宋体" w:hAnsi="宋体" w:cs="宋体"/>
          <w:b/>
          <w:bCs/>
          <w:kern w:val="0"/>
          <w:sz w:val="44"/>
          <w:szCs w:val="44"/>
        </w:rPr>
      </w:pPr>
    </w:p>
    <w:p w14:paraId="2EA4E18D">
      <w:pPr>
        <w:spacing w:line="660" w:lineRule="exact"/>
        <w:jc w:val="center"/>
        <w:rPr>
          <w:rFonts w:hint="eastAsia" w:ascii="宋体" w:hAnsi="宋体" w:cs="宋体"/>
          <w:b/>
          <w:bCs/>
          <w:kern w:val="0"/>
          <w:sz w:val="44"/>
          <w:szCs w:val="44"/>
          <w:lang w:eastAsia="zh-CN"/>
        </w:rPr>
      </w:pPr>
      <w:r>
        <w:rPr>
          <w:rFonts w:hint="eastAsia" w:ascii="宋体" w:hAnsi="宋体" w:cs="宋体"/>
          <w:b/>
          <w:bCs/>
          <w:kern w:val="0"/>
          <w:sz w:val="44"/>
          <w:szCs w:val="44"/>
          <w:lang w:eastAsia="zh-CN"/>
        </w:rPr>
        <w:t>肃南裕固族自治县康乐镇人民政府</w:t>
      </w:r>
    </w:p>
    <w:p w14:paraId="43A71FFA">
      <w:pPr>
        <w:spacing w:line="660" w:lineRule="exact"/>
        <w:jc w:val="center"/>
        <w:rPr>
          <w:rFonts w:ascii="宋体" w:hAnsi="宋体" w:cs="宋体"/>
          <w:b/>
          <w:bCs/>
          <w:kern w:val="0"/>
          <w:sz w:val="44"/>
          <w:szCs w:val="44"/>
        </w:rPr>
        <w:sectPr>
          <w:footerReference r:id="rId3" w:type="default"/>
          <w:pgSz w:w="11906" w:h="16838"/>
          <w:pgMar w:top="1134" w:right="1134" w:bottom="1440" w:left="1276" w:header="851" w:footer="992" w:gutter="0"/>
          <w:cols w:space="720" w:num="1"/>
          <w:docGrid w:type="lines" w:linePitch="312" w:charSpace="0"/>
        </w:sectPr>
      </w:pPr>
      <w:r>
        <w:rPr>
          <w:rFonts w:hint="eastAsia" w:ascii="宋体" w:hAnsi="宋体" w:cs="宋体"/>
          <w:b/>
          <w:bCs/>
          <w:kern w:val="0"/>
          <w:sz w:val="44"/>
          <w:szCs w:val="44"/>
        </w:rPr>
        <w:t>202</w:t>
      </w:r>
      <w:r>
        <w:rPr>
          <w:rFonts w:hint="eastAsia" w:ascii="宋体" w:hAnsi="宋体" w:cs="宋体"/>
          <w:b/>
          <w:bCs/>
          <w:kern w:val="0"/>
          <w:sz w:val="44"/>
          <w:szCs w:val="44"/>
          <w:lang w:val="en-US" w:eastAsia="zh-CN"/>
        </w:rPr>
        <w:t>5</w:t>
      </w:r>
      <w:r>
        <w:rPr>
          <w:rFonts w:hint="eastAsia" w:ascii="宋体" w:hAnsi="宋体" w:cs="宋体"/>
          <w:b/>
          <w:bCs/>
          <w:kern w:val="0"/>
          <w:sz w:val="44"/>
          <w:szCs w:val="44"/>
        </w:rPr>
        <w:t xml:space="preserve">年单位预算公开情况说明 </w:t>
      </w:r>
    </w:p>
    <w:p w14:paraId="3A34EB7E">
      <w:pPr>
        <w:spacing w:line="660" w:lineRule="exact"/>
        <w:jc w:val="center"/>
        <w:rPr>
          <w:rFonts w:ascii="宋体" w:hAnsi="宋体" w:cs="宋体"/>
          <w:b/>
          <w:bCs/>
          <w:kern w:val="0"/>
          <w:sz w:val="44"/>
          <w:szCs w:val="44"/>
        </w:rPr>
      </w:pPr>
      <w:r>
        <w:rPr>
          <w:rFonts w:hint="eastAsia" w:ascii="宋体" w:hAnsi="宋体" w:cs="宋体"/>
          <w:b/>
          <w:bCs/>
          <w:kern w:val="0"/>
          <w:sz w:val="44"/>
          <w:szCs w:val="44"/>
        </w:rPr>
        <w:t>目  录</w:t>
      </w:r>
    </w:p>
    <w:p w14:paraId="7DF4AFBB">
      <w:pPr>
        <w:spacing w:line="660" w:lineRule="exact"/>
        <w:jc w:val="center"/>
        <w:rPr>
          <w:rFonts w:ascii="宋体" w:hAnsi="宋体" w:cs="宋体"/>
          <w:b/>
          <w:bCs/>
          <w:kern w:val="0"/>
          <w:sz w:val="44"/>
          <w:szCs w:val="44"/>
        </w:rPr>
      </w:pPr>
    </w:p>
    <w:p w14:paraId="54974270">
      <w:pPr>
        <w:spacing w:line="30" w:lineRule="exact"/>
        <w:jc w:val="center"/>
        <w:rPr>
          <w:rFonts w:ascii="黑体" w:eastAsia="黑体"/>
          <w:color w:val="000000"/>
          <w:sz w:val="18"/>
          <w:szCs w:val="18"/>
        </w:rPr>
      </w:pPr>
    </w:p>
    <w:p w14:paraId="7CE063F1">
      <w:pPr>
        <w:spacing w:line="560" w:lineRule="exact"/>
        <w:ind w:firstLine="602" w:firstLineChars="200"/>
        <w:jc w:val="left"/>
        <w:rPr>
          <w:rFonts w:ascii="仿宋_GB2312" w:hAnsi="仿宋" w:eastAsia="仿宋_GB2312"/>
          <w:b/>
          <w:color w:val="000000"/>
          <w:sz w:val="30"/>
          <w:szCs w:val="30"/>
        </w:rPr>
      </w:pPr>
      <w:r>
        <w:rPr>
          <w:rFonts w:hint="eastAsia" w:ascii="仿宋_GB2312" w:hAnsi="仿宋" w:eastAsia="仿宋_GB2312"/>
          <w:b/>
          <w:color w:val="000000"/>
          <w:sz w:val="30"/>
          <w:szCs w:val="30"/>
        </w:rPr>
        <w:t>第一部分 部门/单位基本概况</w:t>
      </w:r>
    </w:p>
    <w:p w14:paraId="14DE7646">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一、部门/单位职责</w:t>
      </w:r>
    </w:p>
    <w:p w14:paraId="6946FAED">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二、机构设置情况</w:t>
      </w:r>
    </w:p>
    <w:p w14:paraId="12000A55">
      <w:pPr>
        <w:spacing w:line="560" w:lineRule="exact"/>
        <w:ind w:firstLine="602" w:firstLineChars="200"/>
        <w:jc w:val="left"/>
        <w:rPr>
          <w:rFonts w:ascii="仿宋_GB2312" w:hAnsi="仿宋" w:eastAsia="仿宋_GB2312"/>
          <w:b/>
          <w:color w:val="000000"/>
          <w:sz w:val="30"/>
          <w:szCs w:val="30"/>
        </w:rPr>
      </w:pPr>
      <w:r>
        <w:rPr>
          <w:rFonts w:hint="eastAsia" w:ascii="仿宋_GB2312" w:hAnsi="仿宋" w:eastAsia="仿宋_GB2312"/>
          <w:b/>
          <w:color w:val="000000"/>
          <w:sz w:val="30"/>
          <w:szCs w:val="30"/>
        </w:rPr>
        <w:t>第二部分 202</w:t>
      </w:r>
      <w:r>
        <w:rPr>
          <w:rFonts w:hint="eastAsia" w:ascii="仿宋_GB2312" w:hAnsi="仿宋" w:eastAsia="仿宋_GB2312"/>
          <w:b/>
          <w:color w:val="000000"/>
          <w:sz w:val="30"/>
          <w:szCs w:val="30"/>
          <w:lang w:val="en-US" w:eastAsia="zh-CN"/>
        </w:rPr>
        <w:t>5</w:t>
      </w:r>
      <w:r>
        <w:rPr>
          <w:rFonts w:hint="eastAsia" w:ascii="仿宋_GB2312" w:hAnsi="仿宋" w:eastAsia="仿宋_GB2312"/>
          <w:b/>
          <w:color w:val="000000"/>
          <w:sz w:val="30"/>
          <w:szCs w:val="30"/>
        </w:rPr>
        <w:t>年部门/单位预算情况说明</w:t>
      </w:r>
    </w:p>
    <w:p w14:paraId="26E25177">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一、收支总体情况</w:t>
      </w:r>
    </w:p>
    <w:p w14:paraId="55BC6E61">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二、一般公共预算情况</w:t>
      </w:r>
    </w:p>
    <w:p w14:paraId="597C01B8">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三、一般公共预算财政拨款“三公”经费、培训费、会议费等情况</w:t>
      </w:r>
    </w:p>
    <w:p w14:paraId="3615B4FA">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四、一般公共预算财政拨款机关运行经费情况</w:t>
      </w:r>
    </w:p>
    <w:p w14:paraId="62CF6118">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五、政府采购安排情况</w:t>
      </w:r>
    </w:p>
    <w:p w14:paraId="5A064DB0">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六、国有资产占用情况</w:t>
      </w:r>
    </w:p>
    <w:p w14:paraId="75EBE0BE">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七、其他重要事项情况说明</w:t>
      </w:r>
    </w:p>
    <w:p w14:paraId="1DB980A0">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八、预算绩效管理情况</w:t>
      </w:r>
    </w:p>
    <w:p w14:paraId="1C58A7BD">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九、名词解释</w:t>
      </w:r>
    </w:p>
    <w:p w14:paraId="588CDEBB">
      <w:pPr>
        <w:spacing w:line="560" w:lineRule="exact"/>
        <w:ind w:firstLine="602" w:firstLineChars="200"/>
        <w:jc w:val="left"/>
        <w:rPr>
          <w:rFonts w:ascii="仿宋_GB2312" w:hAnsi="仿宋" w:eastAsia="仿宋_GB2312"/>
          <w:b/>
          <w:color w:val="000000"/>
          <w:sz w:val="30"/>
          <w:szCs w:val="30"/>
        </w:rPr>
      </w:pPr>
      <w:r>
        <w:rPr>
          <w:rFonts w:hint="eastAsia" w:ascii="仿宋_GB2312" w:hAnsi="仿宋" w:eastAsia="仿宋_GB2312"/>
          <w:b/>
          <w:color w:val="000000"/>
          <w:sz w:val="30"/>
          <w:szCs w:val="30"/>
        </w:rPr>
        <w:t>第三部分 202</w:t>
      </w:r>
      <w:r>
        <w:rPr>
          <w:rFonts w:hint="eastAsia" w:ascii="仿宋_GB2312" w:hAnsi="仿宋" w:eastAsia="仿宋_GB2312"/>
          <w:b/>
          <w:color w:val="000000"/>
          <w:sz w:val="30"/>
          <w:szCs w:val="30"/>
          <w:lang w:val="en-US" w:eastAsia="zh-CN"/>
        </w:rPr>
        <w:t>5</w:t>
      </w:r>
      <w:r>
        <w:rPr>
          <w:rFonts w:hint="eastAsia" w:ascii="仿宋_GB2312" w:hAnsi="仿宋" w:eastAsia="仿宋_GB2312"/>
          <w:b/>
          <w:color w:val="000000"/>
          <w:sz w:val="30"/>
          <w:szCs w:val="30"/>
        </w:rPr>
        <w:t>年部门（单位）预算公开表</w:t>
      </w:r>
    </w:p>
    <w:p w14:paraId="5178AC33">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一、部门/单位收支总体情况表</w:t>
      </w:r>
    </w:p>
    <w:p w14:paraId="75E71968">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二、部门/单位收入总体情况表</w:t>
      </w:r>
    </w:p>
    <w:p w14:paraId="3366CDC0">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三、部门/单位支出总体情况表</w:t>
      </w:r>
    </w:p>
    <w:p w14:paraId="5F1256AC">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四、财政拨款收支总体情况表</w:t>
      </w:r>
    </w:p>
    <w:p w14:paraId="7AEB4687">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五、财政拨款支出表</w:t>
      </w:r>
    </w:p>
    <w:p w14:paraId="58ACCEF3">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六、一般公共预算支出情况表</w:t>
      </w:r>
    </w:p>
    <w:p w14:paraId="5B6B9EC9">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七、一般公共预算基本支出情况表</w:t>
      </w:r>
    </w:p>
    <w:p w14:paraId="621DC208">
      <w:pPr>
        <w:spacing w:line="560" w:lineRule="exact"/>
        <w:ind w:firstLine="600" w:firstLineChars="200"/>
        <w:jc w:val="left"/>
        <w:rPr>
          <w:rFonts w:ascii="仿宋_GB2312" w:hAnsi="仿宋" w:eastAsia="仿宋_GB2312"/>
          <w:color w:val="000000"/>
          <w:spacing w:val="-20"/>
          <w:sz w:val="30"/>
          <w:szCs w:val="30"/>
        </w:rPr>
      </w:pPr>
      <w:r>
        <w:rPr>
          <w:rFonts w:hint="eastAsia" w:ascii="仿宋_GB2312" w:hAnsi="仿宋" w:eastAsia="仿宋_GB2312"/>
          <w:color w:val="000000"/>
          <w:sz w:val="30"/>
          <w:szCs w:val="30"/>
        </w:rPr>
        <w:t>八、</w:t>
      </w:r>
      <w:r>
        <w:rPr>
          <w:rFonts w:hint="eastAsia" w:ascii="仿宋_GB2312" w:hAnsi="仿宋" w:eastAsia="仿宋_GB2312"/>
          <w:color w:val="000000"/>
          <w:spacing w:val="-20"/>
          <w:sz w:val="30"/>
          <w:szCs w:val="30"/>
        </w:rPr>
        <w:t>一般公共预算财政拨款“三公”经费、会议费、培训费支出情况表</w:t>
      </w:r>
    </w:p>
    <w:p w14:paraId="095C10AA">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九、一般公共预算财政拨款机关运行经费表</w:t>
      </w:r>
    </w:p>
    <w:p w14:paraId="17EF62C9">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十、政府性基金预算支出情况表</w:t>
      </w:r>
    </w:p>
    <w:p w14:paraId="5FA705E9">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十一、部门管理转移支付表</w:t>
      </w:r>
    </w:p>
    <w:p w14:paraId="6BE944B9">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十二、国有资本经营预算支出情况表</w:t>
      </w:r>
    </w:p>
    <w:p w14:paraId="5516D721">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十三、部门/单位整体支出绩效目标表和项目支出绩效目标表</w:t>
      </w:r>
    </w:p>
    <w:p w14:paraId="2F2626DA">
      <w:pPr>
        <w:spacing w:line="660" w:lineRule="exact"/>
        <w:jc w:val="center"/>
        <w:rPr>
          <w:rFonts w:ascii="仿宋_GB2312" w:hAnsi="宋体" w:eastAsia="仿宋_GB2312" w:cs="宋体"/>
          <w:b/>
          <w:bCs/>
          <w:kern w:val="0"/>
          <w:sz w:val="44"/>
          <w:szCs w:val="44"/>
        </w:rPr>
      </w:pPr>
    </w:p>
    <w:p w14:paraId="1BE822A1">
      <w:pPr>
        <w:spacing w:line="600" w:lineRule="exact"/>
        <w:ind w:firstLine="562" w:firstLineChars="200"/>
        <w:rPr>
          <w:rFonts w:ascii="仿宋_GB2312" w:hAnsi="仿宋" w:eastAsia="仿宋_GB2312" w:cs="宋体"/>
          <w:b/>
          <w:kern w:val="0"/>
          <w:sz w:val="28"/>
          <w:szCs w:val="28"/>
        </w:rPr>
        <w:sectPr>
          <w:footerReference r:id="rId4" w:type="default"/>
          <w:pgSz w:w="11906" w:h="16838"/>
          <w:pgMar w:top="1134" w:right="1134" w:bottom="1440" w:left="1276" w:header="851" w:footer="992" w:gutter="0"/>
          <w:pgNumType w:start="1"/>
          <w:cols w:space="720" w:num="1"/>
          <w:docGrid w:type="lines" w:linePitch="312" w:charSpace="0"/>
        </w:sectPr>
      </w:pPr>
    </w:p>
    <w:p w14:paraId="5CFB4064">
      <w:pPr>
        <w:spacing w:line="600" w:lineRule="exact"/>
        <w:ind w:firstLine="643" w:firstLineChars="200"/>
        <w:rPr>
          <w:rFonts w:ascii="仿宋_GB2312" w:hAnsi="黑体" w:eastAsia="仿宋_GB2312" w:cs="宋体"/>
          <w:b/>
          <w:kern w:val="0"/>
          <w:sz w:val="32"/>
          <w:szCs w:val="32"/>
        </w:rPr>
      </w:pPr>
      <w:r>
        <w:rPr>
          <w:rFonts w:hint="eastAsia" w:ascii="仿宋_GB2312" w:hAnsi="黑体" w:eastAsia="仿宋_GB2312" w:cs="宋体"/>
          <w:b/>
          <w:kern w:val="0"/>
          <w:sz w:val="32"/>
          <w:szCs w:val="32"/>
        </w:rPr>
        <w:t>前言</w:t>
      </w:r>
    </w:p>
    <w:p w14:paraId="5E721F0D">
      <w:pPr>
        <w:spacing w:line="600" w:lineRule="exact"/>
        <w:ind w:firstLine="640" w:firstLineChars="200"/>
        <w:rPr>
          <w:rFonts w:ascii="仿宋_GB2312" w:hAnsi="仿宋" w:eastAsia="仿宋_GB2312" w:cs="宋体"/>
          <w:kern w:val="0"/>
          <w:sz w:val="32"/>
          <w:szCs w:val="32"/>
        </w:rPr>
      </w:pPr>
      <w:r>
        <w:rPr>
          <w:rFonts w:hint="eastAsia" w:ascii="仿宋_GB2312" w:hAnsi="仿宋" w:eastAsia="仿宋_GB2312" w:cs="宋体"/>
          <w:kern w:val="0"/>
          <w:sz w:val="32"/>
          <w:szCs w:val="32"/>
        </w:rPr>
        <w:t>按照《中华人民共和国预算法》《中华人民共和国预算法实施条例》以及</w:t>
      </w:r>
      <w:r>
        <w:rPr>
          <w:rFonts w:ascii="仿宋_GB2312" w:hAnsi="仿宋" w:eastAsia="仿宋_GB2312" w:cs="宋体"/>
          <w:kern w:val="0"/>
          <w:sz w:val="32"/>
          <w:szCs w:val="32"/>
        </w:rPr>
        <w:t>财政部</w:t>
      </w:r>
      <w:r>
        <w:rPr>
          <w:rFonts w:hint="eastAsia" w:ascii="仿宋_GB2312" w:hAnsi="仿宋" w:eastAsia="仿宋_GB2312" w:cs="宋体"/>
          <w:kern w:val="0"/>
          <w:sz w:val="32"/>
          <w:szCs w:val="32"/>
        </w:rPr>
        <w:t>《地方预决算公开操作规程》《关于推进部门所属单位预算公开的指导意见》和《中共甘肃省委办公厅 甘肃省人民政府办公厅关于进一步推进预算公开工作的实施方案》要求，现将202</w:t>
      </w:r>
      <w:r>
        <w:rPr>
          <w:rFonts w:hint="eastAsia" w:ascii="仿宋_GB2312" w:hAnsi="仿宋" w:eastAsia="仿宋_GB2312" w:cs="宋体"/>
          <w:kern w:val="0"/>
          <w:sz w:val="32"/>
          <w:szCs w:val="32"/>
          <w:lang w:val="en-US" w:eastAsia="zh-CN"/>
        </w:rPr>
        <w:t>5</w:t>
      </w:r>
      <w:r>
        <w:rPr>
          <w:rFonts w:hint="eastAsia" w:ascii="仿宋_GB2312" w:hAnsi="仿宋" w:eastAsia="仿宋_GB2312" w:cs="宋体"/>
          <w:kern w:val="0"/>
          <w:sz w:val="32"/>
          <w:szCs w:val="32"/>
        </w:rPr>
        <w:t>年部门预算公开如下：</w:t>
      </w:r>
    </w:p>
    <w:p w14:paraId="5D1F65AA">
      <w:pPr>
        <w:spacing w:line="600" w:lineRule="exact"/>
        <w:ind w:firstLine="640" w:firstLineChars="200"/>
        <w:rPr>
          <w:rFonts w:ascii="黑体" w:hAnsi="黑体" w:eastAsia="黑体" w:cs="宋体"/>
          <w:kern w:val="0"/>
          <w:sz w:val="32"/>
          <w:szCs w:val="32"/>
        </w:rPr>
      </w:pPr>
      <w:r>
        <w:rPr>
          <w:rFonts w:hint="eastAsia" w:ascii="黑体" w:hAnsi="黑体" w:eastAsia="黑体" w:cs="宋体"/>
          <w:kern w:val="0"/>
          <w:sz w:val="32"/>
          <w:szCs w:val="32"/>
        </w:rPr>
        <w:t>一、部门/单位职责</w:t>
      </w:r>
    </w:p>
    <w:p w14:paraId="2D300835">
      <w:pPr>
        <w:snapToGrid w:val="0"/>
        <w:spacing w:line="56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lang w:eastAsia="zh-CN"/>
        </w:rPr>
        <w:t>肃南裕固族自治县</w:t>
      </w:r>
      <w:r>
        <w:rPr>
          <w:rFonts w:hint="eastAsia" w:ascii="仿宋_GB2312" w:eastAsia="仿宋_GB2312" w:hAnsiTheme="minorEastAsia"/>
          <w:sz w:val="32"/>
          <w:szCs w:val="32"/>
        </w:rPr>
        <w:t>康乐镇</w:t>
      </w:r>
      <w:r>
        <w:rPr>
          <w:rFonts w:hint="eastAsia" w:ascii="仿宋_GB2312" w:eastAsia="仿宋_GB2312" w:hAnsiTheme="minorEastAsia"/>
          <w:sz w:val="32"/>
          <w:szCs w:val="32"/>
          <w:lang w:eastAsia="zh-CN"/>
        </w:rPr>
        <w:t>人民政府</w:t>
      </w:r>
      <w:r>
        <w:rPr>
          <w:rFonts w:hint="eastAsia" w:ascii="仿宋_GB2312" w:eastAsia="仿宋_GB2312" w:hAnsiTheme="minorEastAsia"/>
          <w:sz w:val="32"/>
          <w:szCs w:val="32"/>
        </w:rPr>
        <w:t>是县财政</w:t>
      </w:r>
      <w:r>
        <w:rPr>
          <w:rFonts w:hint="eastAsia" w:ascii="仿宋_GB2312" w:eastAsia="仿宋_GB2312" w:hAnsiTheme="minorEastAsia"/>
          <w:sz w:val="32"/>
          <w:szCs w:val="32"/>
          <w:lang w:eastAsia="zh-CN"/>
        </w:rPr>
        <w:t>一</w:t>
      </w:r>
      <w:r>
        <w:rPr>
          <w:rFonts w:hint="eastAsia" w:ascii="仿宋_GB2312" w:eastAsia="仿宋_GB2312" w:hAnsiTheme="minorEastAsia"/>
          <w:sz w:val="32"/>
          <w:szCs w:val="32"/>
        </w:rPr>
        <w:t>级预算单位。主要职责是：</w:t>
      </w:r>
    </w:p>
    <w:p w14:paraId="19D6A579">
      <w:pPr>
        <w:snapToGrid w:val="0"/>
        <w:spacing w:line="560" w:lineRule="exact"/>
        <w:ind w:firstLine="480" w:firstLineChars="200"/>
        <w:rPr>
          <w:rFonts w:ascii="仿宋_GB2312" w:hAnsi="仿宋_GB2312" w:eastAsia="仿宋_GB2312" w:cs="仿宋_GB2312"/>
          <w:color w:val="000000"/>
          <w:sz w:val="32"/>
          <w:szCs w:val="32"/>
        </w:rPr>
      </w:pPr>
      <w:r>
        <w:rPr>
          <w:rFonts w:asciiTheme="minorEastAsia" w:hAnsiTheme="minorEastAsia"/>
          <w:sz w:val="24"/>
        </w:rPr>
        <w:t>1.</w:t>
      </w:r>
      <w:r>
        <w:rPr>
          <w:rFonts w:hint="eastAsia" w:ascii="仿宋_GB2312" w:hAnsi="仿宋_GB2312" w:eastAsia="仿宋_GB2312" w:cs="仿宋_GB2312"/>
          <w:color w:val="000000"/>
          <w:sz w:val="32"/>
          <w:szCs w:val="32"/>
        </w:rPr>
        <w:t>宣传和贯彻执行党的路线方针政策和法律法规；制定地方经济社会发展规划和年度计划并组织实施；坚持依法行政，推进民主政治，</w:t>
      </w:r>
      <w:r>
        <w:rPr>
          <w:rFonts w:hint="eastAsia" w:ascii="仿宋_GB2312" w:hAnsi="仿宋_GB2312" w:eastAsia="仿宋_GB2312" w:cs="仿宋_GB2312"/>
          <w:color w:val="000000"/>
          <w:sz w:val="32"/>
          <w:szCs w:val="32"/>
          <w:lang w:eastAsia="zh-CN"/>
        </w:rPr>
        <w:t>加强基层组织建设</w:t>
      </w:r>
      <w:r>
        <w:rPr>
          <w:rFonts w:hint="eastAsia" w:ascii="仿宋_GB2312" w:hAnsi="仿宋_GB2312" w:eastAsia="仿宋_GB2312" w:cs="仿宋_GB2312"/>
          <w:color w:val="000000"/>
          <w:sz w:val="32"/>
          <w:szCs w:val="32"/>
        </w:rPr>
        <w:t>；做好民生保障、社会治理、为民服务和社区工作。</w:t>
      </w:r>
    </w:p>
    <w:p w14:paraId="049EAE30">
      <w:pPr>
        <w:snapToGrid w:val="0"/>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2.加强干部队伍思想建设、组织建设、作风建设、制度建设和党风廉政建设，改善干部队伍结构，提高干部素质。</w:t>
      </w:r>
    </w:p>
    <w:p w14:paraId="60B6BB30">
      <w:pPr>
        <w:snapToGrid w:val="0"/>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规范经济管理，组织指导经济发展和经济结构调整；加强综合生产能力建设；健全社会化服务体系，完善产业支持保护体系，推进产业现代化；着力提升经济发展的质量和水平，增加居民收入，不断提高人民生活水平。</w:t>
      </w:r>
    </w:p>
    <w:p w14:paraId="1457A03F">
      <w:pPr>
        <w:snapToGrid w:val="0"/>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4.加强社会管理，完善基础设施建设，改善人居环境；推进政务、村务公开；加强民族宗教、卫生健康、</w:t>
      </w:r>
      <w:r>
        <w:rPr>
          <w:rFonts w:hint="eastAsia" w:ascii="仿宋_GB2312" w:hAnsi="仿宋_GB2312" w:eastAsia="仿宋_GB2312" w:cs="仿宋_GB2312"/>
          <w:color w:val="000000"/>
          <w:sz w:val="32"/>
          <w:szCs w:val="32"/>
          <w:lang w:eastAsia="zh-CN"/>
        </w:rPr>
        <w:t>保障妇女儿童合法权益</w:t>
      </w:r>
      <w:r>
        <w:rPr>
          <w:rFonts w:hint="eastAsia" w:ascii="仿宋_GB2312" w:hAnsi="仿宋_GB2312" w:eastAsia="仿宋_GB2312" w:cs="仿宋_GB2312"/>
          <w:color w:val="000000"/>
          <w:sz w:val="32"/>
          <w:szCs w:val="32"/>
        </w:rPr>
        <w:t>等工作；加强自然资源管理、生态环境保护和修复等工作；保障退役军人合法权益；强化安全生产和公共安全，组织抢险救灾、优抚救助，及时上报和处置重大社情、疫情、险情等，保护人民群众的生命财产安全。</w:t>
      </w:r>
    </w:p>
    <w:p w14:paraId="5CD77BD2">
      <w:pPr>
        <w:snapToGrid w:val="0"/>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5.发展公益事业，强化公共服务；加强公共设施建设，开展就业和社会保障服务，着力解决群众生产生活中的问题；发展科教文卫事业，</w:t>
      </w:r>
      <w:r>
        <w:rPr>
          <w:rFonts w:hint="eastAsia" w:ascii="仿宋_GB2312" w:hAnsi="宋体" w:eastAsia="仿宋_GB2312" w:cs="仿宋_GB2312"/>
          <w:color w:val="000000"/>
          <w:sz w:val="32"/>
          <w:szCs w:val="32"/>
        </w:rPr>
        <w:t>丰富农牧民群众文化生活，促进乡风文明</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sz w:val="32"/>
          <w:szCs w:val="32"/>
        </w:rPr>
        <w:t>制定</w:t>
      </w:r>
      <w:r>
        <w:rPr>
          <w:rFonts w:hint="eastAsia" w:ascii="仿宋_GB2312" w:hAnsi="仿宋_GB2312" w:eastAsia="仿宋_GB2312" w:cs="仿宋_GB2312"/>
          <w:color w:val="000000"/>
          <w:sz w:val="32"/>
          <w:szCs w:val="32"/>
        </w:rPr>
        <w:t>公共服务事项目录清单，加强公共服务体系建设。</w:t>
      </w:r>
    </w:p>
    <w:p w14:paraId="6B2B9C40">
      <w:pPr>
        <w:snapToGrid w:val="0"/>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6.领导本镇的基层治理，加强社会主义民主法治建设和精神文明建设，加强社会治安综合治理，做好生态环保、民生保障、脱贫致富、民族宗教等工作。</w:t>
      </w:r>
    </w:p>
    <w:p w14:paraId="0D6B3C3E">
      <w:pPr>
        <w:snapToGrid w:val="0"/>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7.加强综合治理，维护社会稳定；强化民主法制宣传教育，畅通诉求渠道、调解民事纠纷、化解社会矛盾，处理群体性突发事件，保证社会公正，维护社会秩序和社会稳定；指导村民自治，推动基层社会建设，促进社会组织健康发展，增强社会自治功能。</w:t>
      </w:r>
    </w:p>
    <w:p w14:paraId="3C5D7176">
      <w:pPr>
        <w:snapToGrid w:val="0"/>
        <w:spacing w:line="56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8</w:t>
      </w:r>
      <w:r>
        <w:rPr>
          <w:rFonts w:hint="eastAsia" w:ascii="仿宋_GB2312" w:hAnsi="仿宋_GB2312" w:eastAsia="仿宋_GB2312" w:cs="仿宋_GB2312"/>
          <w:color w:val="000000"/>
          <w:sz w:val="32"/>
          <w:szCs w:val="32"/>
        </w:rPr>
        <w:t>.按照管理权限，负责机关和事业单位工作人员的教育、培养、管理和监督工作；协助管理好派驻单位人员。</w:t>
      </w:r>
    </w:p>
    <w:p w14:paraId="3FB2D367">
      <w:pPr>
        <w:snapToGrid w:val="0"/>
        <w:spacing w:line="560" w:lineRule="exact"/>
        <w:ind w:firstLine="616"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pacing w:val="-6"/>
          <w:sz w:val="32"/>
          <w:szCs w:val="32"/>
        </w:rPr>
        <w:t>9</w:t>
      </w:r>
      <w:r>
        <w:rPr>
          <w:rFonts w:hint="eastAsia" w:ascii="仿宋_GB2312" w:hAnsi="仿宋_GB2312" w:eastAsia="仿宋_GB2312" w:cs="仿宋_GB2312"/>
          <w:color w:val="000000"/>
          <w:spacing w:val="-6"/>
          <w:sz w:val="32"/>
          <w:szCs w:val="32"/>
        </w:rPr>
        <w:t>.依法依规承担下放的经济社会管理权限和行政执法事项。</w:t>
      </w:r>
    </w:p>
    <w:p w14:paraId="19215894">
      <w:pPr>
        <w:snapToGrid w:val="0"/>
        <w:spacing w:line="56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10</w:t>
      </w:r>
      <w:r>
        <w:rPr>
          <w:rFonts w:hint="eastAsia" w:ascii="仿宋_GB2312" w:hAnsi="仿宋_GB2312" w:eastAsia="仿宋_GB2312" w:cs="仿宋_GB2312"/>
          <w:color w:val="000000"/>
          <w:sz w:val="32"/>
          <w:szCs w:val="32"/>
        </w:rPr>
        <w:t>.行使《中华人民共和国地方各级人民代表大会和地方各级人民政府组织法》等法律法规赋予的职权。</w:t>
      </w:r>
    </w:p>
    <w:p w14:paraId="49270742">
      <w:pPr>
        <w:adjustRightInd w:val="0"/>
        <w:spacing w:line="560" w:lineRule="exact"/>
        <w:ind w:firstLine="640" w:firstLineChars="200"/>
        <w:textAlignment w:val="baseline"/>
        <w:rPr>
          <w:rFonts w:ascii="宋体" w:hAnsi="Calibri" w:eastAsia="宋体" w:cs="Times New Roman"/>
          <w:color w:val="000000"/>
          <w:sz w:val="28"/>
          <w:lang w:bidi="he-IL"/>
        </w:rPr>
      </w:pPr>
      <w:r>
        <w:rPr>
          <w:rFonts w:hint="eastAsia" w:ascii="仿宋_GB2312" w:hAnsi="仿宋_GB2312" w:eastAsia="仿宋_GB2312" w:cs="仿宋_GB2312"/>
          <w:color w:val="000000"/>
          <w:sz w:val="32"/>
          <w:szCs w:val="32"/>
          <w:lang w:val="en-US" w:eastAsia="zh-CN" w:bidi="he-IL"/>
        </w:rPr>
        <w:t>11</w:t>
      </w:r>
      <w:r>
        <w:rPr>
          <w:rFonts w:hint="eastAsia" w:ascii="仿宋_GB2312" w:hAnsi="仿宋_GB2312" w:eastAsia="仿宋_GB2312" w:cs="仿宋_GB2312"/>
          <w:color w:val="000000"/>
          <w:sz w:val="32"/>
          <w:szCs w:val="32"/>
          <w:lang w:bidi="he-IL"/>
        </w:rPr>
        <w:t>.完成县委、</w:t>
      </w:r>
      <w:r>
        <w:rPr>
          <w:rFonts w:ascii="仿宋_GB2312" w:hAnsi="仿宋_GB2312" w:eastAsia="仿宋_GB2312" w:cs="仿宋_GB2312"/>
          <w:color w:val="000000"/>
          <w:sz w:val="32"/>
          <w:szCs w:val="32"/>
          <w:lang w:bidi="he-IL"/>
        </w:rPr>
        <w:t>县</w:t>
      </w:r>
      <w:r>
        <w:rPr>
          <w:rFonts w:hint="eastAsia" w:ascii="仿宋_GB2312" w:hAnsi="仿宋_GB2312" w:eastAsia="仿宋_GB2312" w:cs="仿宋_GB2312"/>
          <w:color w:val="000000"/>
          <w:sz w:val="32"/>
          <w:szCs w:val="32"/>
          <w:lang w:bidi="he-IL"/>
        </w:rPr>
        <w:t>政府交办的其他工作。</w:t>
      </w:r>
    </w:p>
    <w:p w14:paraId="0225F173">
      <w:pPr>
        <w:spacing w:line="600" w:lineRule="exact"/>
        <w:ind w:firstLine="640" w:firstLineChars="200"/>
        <w:rPr>
          <w:rFonts w:ascii="黑体" w:hAnsi="黑体" w:eastAsia="黑体" w:cs="宋体"/>
          <w:kern w:val="0"/>
          <w:sz w:val="32"/>
          <w:szCs w:val="32"/>
        </w:rPr>
      </w:pPr>
      <w:r>
        <w:rPr>
          <w:rFonts w:hint="eastAsia" w:ascii="黑体" w:hAnsi="黑体" w:eastAsia="黑体" w:cs="宋体"/>
          <w:kern w:val="0"/>
          <w:sz w:val="32"/>
          <w:szCs w:val="32"/>
        </w:rPr>
        <w:t>二、机构设置情况</w:t>
      </w:r>
    </w:p>
    <w:p w14:paraId="25850749">
      <w:pPr>
        <w:wordWrap w:val="0"/>
        <w:spacing w:line="500" w:lineRule="exact"/>
        <w:ind w:firstLine="567"/>
        <w:rPr>
          <w:rFonts w:ascii="仿宋_GB2312" w:eastAsia="仿宋_GB2312" w:hAnsiTheme="minorEastAsia"/>
          <w:sz w:val="32"/>
          <w:szCs w:val="32"/>
        </w:rPr>
      </w:pPr>
      <w:r>
        <w:rPr>
          <w:rFonts w:hint="eastAsia" w:ascii="仿宋_GB2312" w:eastAsia="仿宋_GB2312" w:hAnsiTheme="minorEastAsia"/>
          <w:sz w:val="32"/>
          <w:szCs w:val="32"/>
          <w:lang w:eastAsia="zh-CN"/>
        </w:rPr>
        <w:t>肃南裕固族自治县</w:t>
      </w:r>
      <w:r>
        <w:rPr>
          <w:rFonts w:hint="eastAsia" w:ascii="仿宋_GB2312" w:eastAsia="仿宋_GB2312" w:hAnsiTheme="minorEastAsia"/>
          <w:sz w:val="32"/>
          <w:szCs w:val="32"/>
        </w:rPr>
        <w:t>康乐镇辖区共有13个行政村，总面积约2078平方公里</w:t>
      </w:r>
      <w:r>
        <w:rPr>
          <w:rFonts w:hint="eastAsia" w:ascii="仿宋_GB2312" w:eastAsia="仿宋_GB2312" w:hAnsiTheme="minorEastAsia"/>
          <w:sz w:val="32"/>
          <w:szCs w:val="32"/>
          <w:lang w:eastAsia="zh-CN"/>
        </w:rPr>
        <w:t>，</w:t>
      </w:r>
      <w:r>
        <w:rPr>
          <w:rFonts w:hint="eastAsia" w:ascii="仿宋_GB2312" w:eastAsia="仿宋_GB2312" w:hAnsiTheme="minorEastAsia"/>
          <w:sz w:val="32"/>
          <w:szCs w:val="32"/>
        </w:rPr>
        <w:t>共1239户3387人。康乐镇政府驻地榆木庄村地处省道213线中段，交通条件便利，地理位置优越，是全镇经济、政治、文化中心，也是</w:t>
      </w:r>
      <w:r>
        <w:rPr>
          <w:rFonts w:hint="eastAsia" w:ascii="仿宋_GB2312" w:eastAsia="仿宋_GB2312" w:hAnsiTheme="minorEastAsia"/>
          <w:sz w:val="32"/>
          <w:szCs w:val="32"/>
          <w:lang w:eastAsia="zh-CN"/>
        </w:rPr>
        <w:t>肃南裕固族自治县</w:t>
      </w:r>
      <w:r>
        <w:rPr>
          <w:rFonts w:hint="eastAsia" w:ascii="仿宋_GB2312" w:eastAsia="仿宋_GB2312" w:hAnsiTheme="minorEastAsia"/>
          <w:sz w:val="32"/>
          <w:szCs w:val="32"/>
        </w:rPr>
        <w:t>重点打造的特色旅游文化集镇。现有镇政府、学校、卫生院等机关单位21个。</w:t>
      </w:r>
    </w:p>
    <w:p w14:paraId="37C3409C">
      <w:pPr>
        <w:spacing w:line="560" w:lineRule="exact"/>
        <w:ind w:firstLine="640" w:firstLineChars="200"/>
        <w:rPr>
          <w:rFonts w:ascii="仿宋_GB2312" w:hAnsi="仿宋_GB2312" w:eastAsia="仿宋_GB2312" w:cs="仿宋_GB2312"/>
          <w:color w:val="000000"/>
          <w:sz w:val="32"/>
          <w:szCs w:val="32"/>
        </w:rPr>
      </w:pPr>
      <w:r>
        <w:rPr>
          <w:rFonts w:hint="eastAsia" w:ascii="仿宋_GB2312" w:eastAsia="仿宋_GB2312" w:hAnsiTheme="minorEastAsia"/>
          <w:sz w:val="32"/>
          <w:szCs w:val="32"/>
        </w:rPr>
        <w:t>部门单位构成纳入本部门预算汇编范围的单位康乐镇人民政府。</w:t>
      </w:r>
      <w:r>
        <w:rPr>
          <w:rFonts w:hint="eastAsia" w:ascii="仿宋_GB2312" w:hAnsi="仿宋_GB2312" w:eastAsia="仿宋_GB2312" w:cs="仿宋_GB2312"/>
          <w:color w:val="000000"/>
          <w:sz w:val="32"/>
          <w:szCs w:val="32"/>
        </w:rPr>
        <w:t>康乐镇党委、政府设下列党政机构、事业单位。</w:t>
      </w:r>
    </w:p>
    <w:p w14:paraId="7EFFE208">
      <w:pPr>
        <w:spacing w:line="560" w:lineRule="exact"/>
        <w:ind w:firstLine="640" w:firstLineChars="200"/>
        <w:rPr>
          <w:rFonts w:ascii="楷体_GB2312" w:hAnsi="楷体" w:eastAsia="楷体_GB2312" w:cs="楷体"/>
          <w:color w:val="000000"/>
          <w:sz w:val="32"/>
          <w:szCs w:val="32"/>
        </w:rPr>
      </w:pPr>
      <w:r>
        <w:rPr>
          <w:rFonts w:hint="eastAsia" w:ascii="楷体_GB2312" w:hAnsi="楷体" w:eastAsia="楷体_GB2312" w:cs="楷体"/>
          <w:color w:val="000000"/>
          <w:sz w:val="32"/>
          <w:szCs w:val="32"/>
        </w:rPr>
        <w:t>（一）党政机构</w:t>
      </w:r>
    </w:p>
    <w:p w14:paraId="04B2E53E">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ascii="仿宋_GB2312" w:hAnsi="Calibri" w:eastAsia="仿宋_GB2312" w:cs="Times New Roman"/>
          <w:color w:val="000000"/>
          <w:sz w:val="32"/>
          <w:szCs w:val="32"/>
        </w:rPr>
      </w:pPr>
      <w:r>
        <w:rPr>
          <w:rFonts w:hint="eastAsia" w:ascii="仿宋_GB2312" w:hAnsi="Calibri" w:eastAsia="仿宋_GB2312" w:cs="Times New Roman"/>
          <w:color w:val="000000"/>
          <w:sz w:val="32"/>
          <w:szCs w:val="32"/>
        </w:rPr>
        <w:t>设置党政机构</w:t>
      </w:r>
      <w:r>
        <w:rPr>
          <w:rFonts w:hint="eastAsia" w:ascii="仿宋_GB2312" w:eastAsia="仿宋_GB2312" w:cs="Times New Roman"/>
          <w:color w:val="000000"/>
          <w:sz w:val="32"/>
          <w:szCs w:val="32"/>
          <w:lang w:val="en-US" w:eastAsia="zh-CN"/>
        </w:rPr>
        <w:t>4</w:t>
      </w:r>
      <w:r>
        <w:rPr>
          <w:rFonts w:hint="eastAsia" w:ascii="仿宋_GB2312" w:hAnsi="Calibri" w:eastAsia="仿宋_GB2312" w:cs="Times New Roman"/>
          <w:color w:val="000000"/>
          <w:sz w:val="32"/>
          <w:szCs w:val="32"/>
        </w:rPr>
        <w:t>个，分别是：</w:t>
      </w:r>
      <w:bookmarkStart w:id="0" w:name="OLE_LINK1"/>
      <w:r>
        <w:rPr>
          <w:rFonts w:hint="eastAsia" w:ascii="仿宋_GB2312" w:hAnsi="仿宋_GB2312" w:eastAsia="仿宋_GB2312" w:cs="仿宋_GB2312"/>
          <w:b w:val="0"/>
          <w:bCs w:val="0"/>
          <w:color w:val="auto"/>
          <w:sz w:val="32"/>
          <w:szCs w:val="32"/>
          <w:highlight w:val="none"/>
        </w:rPr>
        <w:t>党政综合办公室、党建工作办公室、经济发展</w:t>
      </w:r>
      <w:r>
        <w:rPr>
          <w:rFonts w:hint="eastAsia" w:ascii="仿宋_GB2312" w:hAnsi="仿宋_GB2312" w:eastAsia="仿宋_GB2312" w:cs="仿宋_GB2312"/>
          <w:b w:val="0"/>
          <w:bCs w:val="0"/>
          <w:color w:val="auto"/>
          <w:sz w:val="32"/>
          <w:szCs w:val="32"/>
          <w:highlight w:val="none"/>
          <w:lang w:eastAsia="zh-CN"/>
        </w:rPr>
        <w:t>和</w:t>
      </w:r>
      <w:r>
        <w:rPr>
          <w:rFonts w:hint="eastAsia" w:ascii="仿宋_GB2312" w:hAnsi="仿宋_GB2312" w:eastAsia="仿宋_GB2312" w:cs="仿宋_GB2312"/>
          <w:b w:val="0"/>
          <w:bCs w:val="0"/>
          <w:color w:val="auto"/>
          <w:sz w:val="32"/>
          <w:szCs w:val="32"/>
          <w:highlight w:val="none"/>
        </w:rPr>
        <w:t>社会事务办公室</w:t>
      </w:r>
      <w:r>
        <w:rPr>
          <w:rFonts w:hint="eastAsia" w:ascii="仿宋_GB2312" w:hAnsi="仿宋_GB2312" w:eastAsia="仿宋_GB2312" w:cs="仿宋_GB2312"/>
          <w:b w:val="0"/>
          <w:bCs w:val="0"/>
          <w:color w:val="auto"/>
          <w:sz w:val="32"/>
          <w:szCs w:val="32"/>
          <w:highlight w:val="none"/>
          <w:lang w:eastAsia="zh-CN"/>
        </w:rPr>
        <w:t>、平安法治办公室（</w:t>
      </w:r>
      <w:r>
        <w:rPr>
          <w:rFonts w:hint="eastAsia" w:ascii="仿宋_GB2312" w:hAnsi="仿宋_GB2312" w:eastAsia="仿宋_GB2312" w:cs="仿宋_GB2312"/>
          <w:b w:val="0"/>
          <w:bCs w:val="0"/>
          <w:color w:val="auto"/>
          <w:sz w:val="32"/>
          <w:szCs w:val="32"/>
          <w:highlight w:val="none"/>
        </w:rPr>
        <w:t>社会</w:t>
      </w:r>
      <w:r>
        <w:rPr>
          <w:rFonts w:hint="eastAsia" w:ascii="仿宋_GB2312" w:hAnsi="仿宋_GB2312" w:eastAsia="仿宋_GB2312" w:cs="仿宋_GB2312"/>
          <w:b w:val="0"/>
          <w:bCs w:val="0"/>
          <w:color w:val="auto"/>
          <w:sz w:val="32"/>
          <w:szCs w:val="32"/>
          <w:highlight w:val="none"/>
          <w:lang w:eastAsia="zh-CN"/>
        </w:rPr>
        <w:t>治安综合治理</w:t>
      </w:r>
      <w:bookmarkEnd w:id="0"/>
      <w:r>
        <w:rPr>
          <w:rFonts w:hint="eastAsia" w:ascii="仿宋_GB2312" w:hAnsi="仿宋_GB2312" w:eastAsia="仿宋_GB2312" w:cs="仿宋_GB2312"/>
          <w:b w:val="0"/>
          <w:bCs w:val="0"/>
          <w:color w:val="auto"/>
          <w:sz w:val="32"/>
          <w:szCs w:val="32"/>
          <w:highlight w:val="none"/>
          <w:lang w:eastAsia="zh-CN"/>
        </w:rPr>
        <w:t>中心）</w:t>
      </w:r>
      <w:r>
        <w:rPr>
          <w:rFonts w:hint="eastAsia" w:ascii="仿宋_GB2312" w:hAnsi="仿宋_GB2312" w:eastAsia="仿宋_GB2312" w:cs="仿宋_GB2312"/>
          <w:b w:val="0"/>
          <w:bCs w:val="0"/>
          <w:color w:val="auto"/>
          <w:sz w:val="32"/>
          <w:szCs w:val="32"/>
          <w:highlight w:val="none"/>
        </w:rPr>
        <w:t>。</w:t>
      </w:r>
    </w:p>
    <w:p w14:paraId="598038DA">
      <w:pPr>
        <w:spacing w:line="560" w:lineRule="exact"/>
        <w:ind w:firstLine="640" w:firstLineChars="200"/>
        <w:rPr>
          <w:rFonts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（二）事业单位</w:t>
      </w:r>
    </w:p>
    <w:p w14:paraId="4FF3DA2D">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设置事业单位</w:t>
      </w: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rPr>
        <w:t>个，分别是：</w:t>
      </w:r>
      <w:r>
        <w:rPr>
          <w:rFonts w:hint="eastAsia" w:ascii="仿宋_GB2312" w:hAnsi="仿宋_GB2312" w:eastAsia="仿宋_GB2312" w:cs="仿宋_GB2312"/>
          <w:b w:val="0"/>
          <w:bCs w:val="0"/>
          <w:color w:val="auto"/>
          <w:sz w:val="32"/>
          <w:szCs w:val="32"/>
          <w:highlight w:val="none"/>
        </w:rPr>
        <w:t>农业农村综合服务中心、党群服务中心</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新时代文明实践所、退役军人服务站</w:t>
      </w:r>
      <w:r>
        <w:rPr>
          <w:rFonts w:hint="eastAsia" w:ascii="仿宋_GB2312" w:hAnsi="仿宋_GB2312" w:eastAsia="仿宋_GB2312" w:cs="仿宋_GB2312"/>
          <w:b w:val="0"/>
          <w:bCs w:val="0"/>
          <w:color w:val="auto"/>
          <w:sz w:val="32"/>
          <w:szCs w:val="32"/>
          <w:highlight w:val="none"/>
          <w:lang w:eastAsia="zh-CN"/>
        </w:rPr>
        <w:t>）、文化</w:t>
      </w:r>
      <w:r>
        <w:rPr>
          <w:rFonts w:hint="eastAsia" w:ascii="仿宋_GB2312" w:hAnsi="仿宋_GB2312" w:eastAsia="仿宋_GB2312" w:cs="仿宋_GB2312"/>
          <w:b w:val="0"/>
          <w:bCs w:val="0"/>
          <w:color w:val="auto"/>
          <w:sz w:val="32"/>
          <w:szCs w:val="32"/>
          <w:highlight w:val="none"/>
        </w:rPr>
        <w:t>服务中心（加挂退役军人服务站、综合文化站牌子）、综合执法队。</w:t>
      </w:r>
    </w:p>
    <w:p w14:paraId="227AAB1F">
      <w:pPr>
        <w:spacing w:line="600" w:lineRule="exact"/>
        <w:ind w:firstLine="640" w:firstLineChars="200"/>
        <w:rPr>
          <w:rFonts w:ascii="黑体" w:hAnsi="黑体" w:eastAsia="黑体" w:cs="宋体"/>
          <w:kern w:val="0"/>
          <w:sz w:val="32"/>
          <w:szCs w:val="32"/>
        </w:rPr>
      </w:pPr>
      <w:r>
        <w:rPr>
          <w:rFonts w:hint="eastAsia" w:ascii="黑体" w:hAnsi="黑体" w:eastAsia="黑体" w:cs="宋体"/>
          <w:kern w:val="0"/>
          <w:sz w:val="32"/>
          <w:szCs w:val="32"/>
        </w:rPr>
        <w:t>三、部门/单位收支总体情况</w:t>
      </w:r>
    </w:p>
    <w:p w14:paraId="3E8D7748">
      <w:pPr>
        <w:spacing w:line="600" w:lineRule="exact"/>
        <w:ind w:firstLine="640" w:firstLineChars="200"/>
        <w:rPr>
          <w:rFonts w:ascii="仿宋_GB2312" w:hAnsi="仿宋" w:eastAsia="仿宋_GB2312" w:cs="宋体"/>
          <w:kern w:val="0"/>
          <w:sz w:val="32"/>
          <w:szCs w:val="32"/>
        </w:rPr>
      </w:pPr>
      <w:r>
        <w:rPr>
          <w:rFonts w:hint="eastAsia" w:ascii="仿宋_GB2312" w:hAnsi="仿宋" w:eastAsia="仿宋_GB2312" w:cs="宋体"/>
          <w:kern w:val="0"/>
          <w:sz w:val="32"/>
          <w:szCs w:val="32"/>
        </w:rPr>
        <w:t>202</w:t>
      </w:r>
      <w:r>
        <w:rPr>
          <w:rFonts w:hint="eastAsia" w:ascii="仿宋_GB2312" w:hAnsi="仿宋" w:eastAsia="仿宋_GB2312" w:cs="宋体"/>
          <w:kern w:val="0"/>
          <w:sz w:val="32"/>
          <w:szCs w:val="32"/>
          <w:lang w:val="en-US" w:eastAsia="zh-CN"/>
        </w:rPr>
        <w:t>5</w:t>
      </w:r>
      <w:r>
        <w:rPr>
          <w:rFonts w:hint="eastAsia" w:ascii="仿宋_GB2312" w:hAnsi="仿宋" w:eastAsia="仿宋_GB2312" w:cs="宋体"/>
          <w:kern w:val="0"/>
          <w:sz w:val="32"/>
          <w:szCs w:val="32"/>
        </w:rPr>
        <w:t>年部门收支总预算</w:t>
      </w:r>
      <w:r>
        <w:rPr>
          <w:rFonts w:hint="eastAsia" w:ascii="仿宋_GB2312" w:hAnsi="仿宋" w:eastAsia="仿宋_GB2312" w:cs="宋体"/>
          <w:kern w:val="0"/>
          <w:sz w:val="32"/>
          <w:szCs w:val="32"/>
          <w:lang w:val="en-US" w:eastAsia="zh-CN"/>
        </w:rPr>
        <w:t>1880.81</w:t>
      </w:r>
      <w:r>
        <w:rPr>
          <w:rFonts w:hint="eastAsia" w:ascii="仿宋_GB2312" w:hAnsi="仿宋" w:eastAsia="仿宋_GB2312" w:cs="宋体"/>
          <w:kern w:val="0"/>
          <w:sz w:val="32"/>
          <w:szCs w:val="32"/>
        </w:rPr>
        <w:t>万元。按照综合预算的原则，单位所有收入和支出均纳入部门预算管理。收入包括：一般公共预算拨款收入、政府性基金预算拨款收入、事业收入、事业单位经营收入、其他收入、使用非财政拨款结余、上年结转；支出包括：一般公共服务支出、公共安全支出、教育支出、科学技术支出、社会保障和就业支出、卫生健康支出、交通运输支出、住房保障支出、其他支出。</w:t>
      </w:r>
    </w:p>
    <w:p w14:paraId="278BA211">
      <w:pPr>
        <w:spacing w:line="600" w:lineRule="exact"/>
        <w:ind w:firstLine="643" w:firstLineChars="200"/>
        <w:rPr>
          <w:rFonts w:ascii="楷体_GB2312" w:hAnsi="楷体" w:eastAsia="楷体_GB2312"/>
          <w:sz w:val="32"/>
          <w:szCs w:val="32"/>
        </w:rPr>
      </w:pPr>
      <w:r>
        <w:rPr>
          <w:rFonts w:hint="eastAsia" w:ascii="楷体_GB2312" w:hAnsi="楷体" w:eastAsia="楷体_GB2312" w:cs="宋体"/>
          <w:b/>
          <w:bCs/>
          <w:kern w:val="0"/>
          <w:sz w:val="32"/>
          <w:szCs w:val="32"/>
        </w:rPr>
        <w:t>（一）收入预算</w:t>
      </w:r>
    </w:p>
    <w:p w14:paraId="1B399260">
      <w:pPr>
        <w:widowControl/>
        <w:spacing w:line="56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2024年收入预算</w:t>
      </w:r>
      <w:r>
        <w:rPr>
          <w:rFonts w:hint="eastAsia" w:ascii="仿宋_GB2312" w:hAnsi="仿宋" w:eastAsia="仿宋_GB2312"/>
          <w:sz w:val="32"/>
          <w:szCs w:val="32"/>
          <w:lang w:val="en-US" w:eastAsia="zh-CN"/>
        </w:rPr>
        <w:t>1880.81</w:t>
      </w:r>
      <w:r>
        <w:rPr>
          <w:rFonts w:hint="eastAsia" w:ascii="仿宋_GB2312" w:hAnsi="仿宋" w:eastAsia="仿宋_GB2312"/>
          <w:sz w:val="32"/>
          <w:szCs w:val="32"/>
        </w:rPr>
        <w:t>万元（详见单位预算公开表1,2）。包括：</w:t>
      </w:r>
    </w:p>
    <w:p w14:paraId="3E037196">
      <w:pPr>
        <w:widowControl/>
        <w:spacing w:line="56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一般公共预算收入</w:t>
      </w:r>
      <w:r>
        <w:rPr>
          <w:rFonts w:hint="eastAsia" w:ascii="仿宋_GB2312" w:hAnsi="仿宋" w:eastAsia="仿宋_GB2312"/>
          <w:sz w:val="32"/>
          <w:szCs w:val="32"/>
          <w:lang w:val="en-US" w:eastAsia="zh-CN"/>
        </w:rPr>
        <w:t>1880.81</w:t>
      </w:r>
      <w:r>
        <w:rPr>
          <w:rFonts w:hint="eastAsia" w:ascii="仿宋_GB2312" w:hAnsi="仿宋" w:eastAsia="仿宋_GB2312"/>
          <w:sz w:val="32"/>
          <w:szCs w:val="32"/>
        </w:rPr>
        <w:t>万元，占</w:t>
      </w:r>
      <w:r>
        <w:rPr>
          <w:rFonts w:hint="eastAsia" w:ascii="仿宋_GB2312" w:hAnsi="仿宋" w:eastAsia="仿宋_GB2312"/>
          <w:sz w:val="32"/>
          <w:szCs w:val="32"/>
          <w:lang w:val="en-US" w:eastAsia="zh-CN"/>
        </w:rPr>
        <w:t>100</w:t>
      </w:r>
      <w:r>
        <w:rPr>
          <w:rFonts w:hint="eastAsia" w:ascii="仿宋_GB2312" w:hAnsi="仿宋" w:eastAsia="仿宋_GB2312"/>
          <w:sz w:val="32"/>
          <w:szCs w:val="32"/>
        </w:rPr>
        <w:t>%；</w:t>
      </w:r>
    </w:p>
    <w:p w14:paraId="62895442">
      <w:pPr>
        <w:widowControl/>
        <w:spacing w:line="56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政府性基金预算收入</w:t>
      </w:r>
      <w:r>
        <w:rPr>
          <w:rFonts w:hint="eastAsia" w:ascii="仿宋_GB2312" w:hAnsi="仿宋" w:eastAsia="仿宋_GB2312"/>
          <w:sz w:val="32"/>
          <w:szCs w:val="32"/>
          <w:lang w:val="en-US" w:eastAsia="zh-CN"/>
        </w:rPr>
        <w:t>0</w:t>
      </w:r>
      <w:r>
        <w:rPr>
          <w:rFonts w:hint="eastAsia" w:ascii="仿宋_GB2312" w:hAnsi="仿宋" w:eastAsia="仿宋_GB2312"/>
          <w:sz w:val="32"/>
          <w:szCs w:val="32"/>
        </w:rPr>
        <w:t>万元，占</w:t>
      </w:r>
      <w:r>
        <w:rPr>
          <w:rFonts w:hint="eastAsia" w:ascii="仿宋_GB2312" w:hAnsi="仿宋" w:eastAsia="仿宋_GB2312"/>
          <w:sz w:val="32"/>
          <w:szCs w:val="32"/>
          <w:lang w:val="en-US" w:eastAsia="zh-CN"/>
        </w:rPr>
        <w:t>0</w:t>
      </w:r>
      <w:r>
        <w:rPr>
          <w:rFonts w:hint="eastAsia" w:ascii="仿宋_GB2312" w:hAnsi="仿宋" w:eastAsia="仿宋_GB2312"/>
          <w:sz w:val="32"/>
          <w:szCs w:val="32"/>
        </w:rPr>
        <w:t>%；</w:t>
      </w:r>
    </w:p>
    <w:p w14:paraId="6B2BCA8B">
      <w:pPr>
        <w:widowControl/>
        <w:spacing w:line="56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上年结转收入</w:t>
      </w:r>
      <w:r>
        <w:rPr>
          <w:rFonts w:hint="eastAsia" w:ascii="仿宋_GB2312" w:hAnsi="仿宋" w:eastAsia="仿宋_GB2312"/>
          <w:sz w:val="32"/>
          <w:szCs w:val="32"/>
          <w:lang w:val="en-US" w:eastAsia="zh-CN"/>
        </w:rPr>
        <w:t>0</w:t>
      </w:r>
      <w:r>
        <w:rPr>
          <w:rFonts w:hint="eastAsia" w:ascii="仿宋_GB2312" w:hAnsi="仿宋" w:eastAsia="仿宋_GB2312"/>
          <w:sz w:val="32"/>
          <w:szCs w:val="32"/>
        </w:rPr>
        <w:t>万元，占</w:t>
      </w:r>
      <w:r>
        <w:rPr>
          <w:rFonts w:hint="eastAsia" w:ascii="仿宋_GB2312" w:hAnsi="仿宋" w:eastAsia="仿宋_GB2312"/>
          <w:sz w:val="32"/>
          <w:szCs w:val="32"/>
          <w:lang w:val="en-US" w:eastAsia="zh-CN"/>
        </w:rPr>
        <w:t>0</w:t>
      </w:r>
      <w:r>
        <w:rPr>
          <w:rFonts w:hint="eastAsia" w:ascii="仿宋_GB2312" w:hAnsi="仿宋" w:eastAsia="仿宋_GB2312"/>
          <w:sz w:val="32"/>
          <w:szCs w:val="32"/>
        </w:rPr>
        <w:t>%；</w:t>
      </w:r>
    </w:p>
    <w:p w14:paraId="0F252446">
      <w:pPr>
        <w:widowControl/>
        <w:spacing w:line="56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其他收入</w:t>
      </w:r>
      <w:r>
        <w:rPr>
          <w:rFonts w:hint="eastAsia" w:ascii="仿宋_GB2312" w:hAnsi="仿宋" w:eastAsia="仿宋_GB2312"/>
          <w:sz w:val="32"/>
          <w:szCs w:val="32"/>
          <w:lang w:val="en-US" w:eastAsia="zh-CN"/>
        </w:rPr>
        <w:t>0</w:t>
      </w:r>
      <w:r>
        <w:rPr>
          <w:rFonts w:hint="eastAsia" w:ascii="仿宋_GB2312" w:hAnsi="仿宋" w:eastAsia="仿宋_GB2312"/>
          <w:sz w:val="32"/>
          <w:szCs w:val="32"/>
        </w:rPr>
        <w:t>万元，占</w:t>
      </w:r>
      <w:r>
        <w:rPr>
          <w:rFonts w:hint="eastAsia" w:ascii="仿宋_GB2312" w:hAnsi="仿宋" w:eastAsia="仿宋_GB2312"/>
          <w:sz w:val="32"/>
          <w:szCs w:val="32"/>
          <w:lang w:val="en-US" w:eastAsia="zh-CN"/>
        </w:rPr>
        <w:t>0</w:t>
      </w:r>
      <w:r>
        <w:rPr>
          <w:rFonts w:hint="eastAsia" w:ascii="仿宋_GB2312" w:hAnsi="仿宋" w:eastAsia="仿宋_GB2312"/>
          <w:sz w:val="32"/>
          <w:szCs w:val="32"/>
        </w:rPr>
        <w:t>%。</w:t>
      </w:r>
    </w:p>
    <w:p w14:paraId="3CE3F884">
      <w:pPr>
        <w:widowControl/>
        <w:spacing w:line="560" w:lineRule="exact"/>
        <w:ind w:firstLine="640" w:firstLineChars="200"/>
        <w:jc w:val="left"/>
        <w:rPr>
          <w:rFonts w:ascii="仿宋_GB2312" w:hAnsi="仿宋" w:eastAsia="仿宋_GB2312"/>
          <w:sz w:val="32"/>
          <w:szCs w:val="32"/>
        </w:rPr>
      </w:pPr>
    </w:p>
    <w:tbl>
      <w:tblPr>
        <w:tblStyle w:val="9"/>
        <w:tblW w:w="10260" w:type="dxa"/>
        <w:tblInd w:w="0" w:type="dxa"/>
        <w:tblLayout w:type="autofit"/>
        <w:tblCellMar>
          <w:top w:w="0" w:type="dxa"/>
          <w:left w:w="108" w:type="dxa"/>
          <w:bottom w:w="0" w:type="dxa"/>
          <w:right w:w="108" w:type="dxa"/>
        </w:tblCellMar>
      </w:tblPr>
      <w:tblGrid>
        <w:gridCol w:w="10260"/>
      </w:tblGrid>
      <w:tr w14:paraId="73E4D889">
        <w:tblPrEx>
          <w:tblCellMar>
            <w:top w:w="0" w:type="dxa"/>
            <w:left w:w="108" w:type="dxa"/>
            <w:bottom w:w="0" w:type="dxa"/>
            <w:right w:w="108" w:type="dxa"/>
          </w:tblCellMar>
        </w:tblPrEx>
        <w:trPr>
          <w:trHeight w:val="4584" w:hRule="atLeast"/>
        </w:trPr>
        <w:tc>
          <w:tcPr>
            <w:tcW w:w="10260" w:type="dxa"/>
            <w:shd w:val="clear" w:color="auto" w:fill="auto"/>
          </w:tcPr>
          <w:p w14:paraId="52D1303B">
            <w:pPr>
              <w:rPr>
                <w:rFonts w:ascii="仿宋_GB2312" w:eastAsia="仿宋_GB2312"/>
                <w:sz w:val="32"/>
                <w:szCs w:val="32"/>
              </w:rPr>
            </w:pPr>
            <w:r>
              <w:drawing>
                <wp:inline distT="0" distB="0" distL="114300" distR="114300">
                  <wp:extent cx="6250305" cy="2896235"/>
                  <wp:effectExtent l="4445" t="4445" r="12700" b="13970"/>
                  <wp:docPr id="1026" name="不可见图表"/>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tc>
      </w:tr>
    </w:tbl>
    <w:p w14:paraId="0F5FE393">
      <w:pPr>
        <w:adjustRightInd w:val="0"/>
        <w:snapToGrid w:val="0"/>
        <w:spacing w:line="640" w:lineRule="exact"/>
        <w:ind w:firstLine="643" w:firstLineChars="200"/>
        <w:contextualSpacing/>
        <w:rPr>
          <w:rFonts w:ascii="楷体_GB2312" w:hAnsi="楷体" w:eastAsia="楷体_GB2312" w:cs="宋体"/>
          <w:b/>
          <w:bCs/>
          <w:kern w:val="0"/>
          <w:sz w:val="32"/>
          <w:szCs w:val="32"/>
        </w:rPr>
      </w:pPr>
      <w:r>
        <w:rPr>
          <w:rFonts w:hint="eastAsia" w:ascii="楷体_GB2312" w:hAnsi="楷体" w:eastAsia="楷体_GB2312" w:cs="宋体"/>
          <w:b/>
          <w:bCs/>
          <w:kern w:val="0"/>
          <w:sz w:val="32"/>
          <w:szCs w:val="32"/>
        </w:rPr>
        <w:t>（二）支出预算</w:t>
      </w:r>
    </w:p>
    <w:p w14:paraId="7515C805">
      <w:pPr>
        <w:widowControl/>
        <w:adjustRightInd w:val="0"/>
        <w:snapToGrid w:val="0"/>
        <w:spacing w:line="640" w:lineRule="exact"/>
        <w:ind w:firstLine="640" w:firstLineChars="200"/>
        <w:contextualSpacing/>
        <w:jc w:val="left"/>
        <w:rPr>
          <w:rFonts w:ascii="仿宋_GB2312" w:hAnsi="仿宋" w:eastAsia="仿宋_GB2312"/>
          <w:sz w:val="32"/>
          <w:szCs w:val="32"/>
        </w:rPr>
      </w:pPr>
      <w:r>
        <w:rPr>
          <w:rFonts w:hint="eastAsia" w:ascii="仿宋_GB2312" w:hAnsi="仿宋" w:eastAsia="仿宋_GB2312"/>
          <w:sz w:val="32"/>
          <w:szCs w:val="32"/>
        </w:rPr>
        <w:t>2024年支出预算</w:t>
      </w:r>
      <w:r>
        <w:rPr>
          <w:rFonts w:hint="eastAsia" w:ascii="仿宋_GB2312" w:hAnsi="仿宋" w:eastAsia="仿宋_GB2312"/>
          <w:sz w:val="32"/>
          <w:szCs w:val="32"/>
          <w:lang w:val="en-US" w:eastAsia="zh-CN"/>
        </w:rPr>
        <w:t>1880.81</w:t>
      </w:r>
      <w:r>
        <w:rPr>
          <w:rFonts w:hint="eastAsia" w:ascii="仿宋_GB2312" w:hAnsi="仿宋" w:eastAsia="仿宋_GB2312"/>
          <w:sz w:val="32"/>
          <w:szCs w:val="32"/>
        </w:rPr>
        <w:t>万元（详见单位预算公开表3）。</w:t>
      </w:r>
      <w:r>
        <w:rPr>
          <w:rStyle w:val="21"/>
          <w:rFonts w:hint="default" w:hAnsi="仿宋"/>
        </w:rPr>
        <w:t>其中：基本支出</w:t>
      </w:r>
      <w:r>
        <w:rPr>
          <w:rStyle w:val="22"/>
          <w:rFonts w:hint="eastAsia" w:ascii="仿宋_GB2312" w:hAnsi="仿宋" w:eastAsia="仿宋_GB2312"/>
          <w:lang w:val="en-US" w:eastAsia="zh-CN"/>
        </w:rPr>
        <w:t>1072.77</w:t>
      </w:r>
      <w:r>
        <w:rPr>
          <w:rStyle w:val="21"/>
          <w:rFonts w:hint="default" w:hAnsi="仿宋"/>
        </w:rPr>
        <w:t>万元</w:t>
      </w:r>
      <w:r>
        <w:rPr>
          <w:rStyle w:val="21"/>
          <w:rFonts w:hint="eastAsia" w:hAnsi="仿宋" w:eastAsia="仿宋_GB2312"/>
          <w:lang w:eastAsia="zh-CN"/>
        </w:rPr>
        <w:t>，</w:t>
      </w:r>
      <w:r>
        <w:rPr>
          <w:rStyle w:val="21"/>
          <w:rFonts w:hint="default" w:hAnsi="仿宋"/>
        </w:rPr>
        <w:t>占</w:t>
      </w:r>
      <w:r>
        <w:rPr>
          <w:rStyle w:val="21"/>
          <w:rFonts w:hint="eastAsia" w:hAnsi="仿宋" w:eastAsia="仿宋_GB2312"/>
          <w:lang w:val="en-US" w:eastAsia="zh-CN"/>
        </w:rPr>
        <w:t>57.04</w:t>
      </w:r>
      <w:r>
        <w:rPr>
          <w:rStyle w:val="22"/>
          <w:rFonts w:hint="eastAsia" w:ascii="仿宋_GB2312" w:hAnsi="仿宋" w:eastAsia="仿宋_GB2312"/>
        </w:rPr>
        <w:t>%</w:t>
      </w:r>
      <w:r>
        <w:rPr>
          <w:rStyle w:val="21"/>
          <w:rFonts w:hint="default" w:hAnsi="仿宋"/>
        </w:rPr>
        <w:t>；项目支出</w:t>
      </w:r>
      <w:r>
        <w:rPr>
          <w:rStyle w:val="21"/>
          <w:rFonts w:hint="eastAsia" w:hAnsi="仿宋" w:eastAsia="仿宋_GB2312"/>
          <w:lang w:val="en-US" w:eastAsia="zh-CN"/>
        </w:rPr>
        <w:t>808.04</w:t>
      </w:r>
      <w:r>
        <w:rPr>
          <w:rStyle w:val="21"/>
          <w:rFonts w:hint="default" w:hAnsi="仿宋"/>
        </w:rPr>
        <w:t>万元，占</w:t>
      </w:r>
      <w:r>
        <w:rPr>
          <w:rStyle w:val="21"/>
          <w:rFonts w:hint="eastAsia" w:hAnsi="仿宋" w:eastAsia="仿宋_GB2312"/>
          <w:lang w:val="en-US" w:eastAsia="zh-CN"/>
        </w:rPr>
        <w:t>42.96</w:t>
      </w:r>
      <w:r>
        <w:rPr>
          <w:rStyle w:val="22"/>
          <w:rFonts w:hint="eastAsia" w:ascii="仿宋_GB2312" w:hAnsi="仿宋" w:eastAsia="仿宋_GB2312"/>
        </w:rPr>
        <w:t>%</w:t>
      </w:r>
      <w:r>
        <w:rPr>
          <w:rStyle w:val="22"/>
          <w:rFonts w:hint="eastAsia" w:ascii="仿宋_GB2312" w:hAnsi="仿宋" w:eastAsia="仿宋_GB2312"/>
          <w:lang w:eastAsia="zh-CN"/>
        </w:rPr>
        <w:t>；</w:t>
      </w:r>
      <w:r>
        <w:rPr>
          <w:rStyle w:val="21"/>
          <w:rFonts w:hint="default" w:hAnsi="仿宋"/>
        </w:rPr>
        <w:t>上年结转</w:t>
      </w:r>
      <w:r>
        <w:rPr>
          <w:rStyle w:val="22"/>
          <w:rFonts w:hint="eastAsia" w:ascii="仿宋_GB2312" w:hAnsi="仿宋" w:eastAsia="仿宋_GB2312"/>
          <w:lang w:val="en-US" w:eastAsia="zh-CN"/>
        </w:rPr>
        <w:t>0</w:t>
      </w:r>
      <w:r>
        <w:rPr>
          <w:rStyle w:val="21"/>
          <w:rFonts w:hint="default" w:hAnsi="仿宋"/>
        </w:rPr>
        <w:t>万元，占</w:t>
      </w:r>
      <w:r>
        <w:rPr>
          <w:rStyle w:val="22"/>
          <w:rFonts w:hint="eastAsia" w:ascii="仿宋_GB2312" w:hAnsi="仿宋" w:eastAsia="仿宋_GB2312"/>
          <w:lang w:val="en-US" w:eastAsia="zh-CN"/>
        </w:rPr>
        <w:t>0</w:t>
      </w:r>
      <w:r>
        <w:rPr>
          <w:rStyle w:val="22"/>
          <w:rFonts w:hint="eastAsia" w:ascii="仿宋_GB2312" w:hAnsi="仿宋" w:eastAsia="仿宋_GB2312"/>
        </w:rPr>
        <w:t>%</w:t>
      </w:r>
      <w:r>
        <w:rPr>
          <w:rStyle w:val="21"/>
          <w:rFonts w:hint="default" w:hAnsi="仿宋"/>
        </w:rPr>
        <w:t>。</w:t>
      </w:r>
    </w:p>
    <w:p w14:paraId="5E3B7A2E">
      <w:pPr>
        <w:numPr>
          <w:ilvl w:val="0"/>
          <w:numId w:val="1"/>
        </w:numPr>
        <w:adjustRightInd w:val="0"/>
        <w:snapToGrid w:val="0"/>
        <w:spacing w:line="640" w:lineRule="exact"/>
        <w:ind w:firstLine="640" w:firstLineChars="200"/>
        <w:contextualSpacing/>
        <w:rPr>
          <w:rFonts w:hint="eastAsia" w:ascii="黑体" w:hAnsi="黑体" w:eastAsia="黑体" w:cs="宋体"/>
          <w:kern w:val="0"/>
          <w:sz w:val="32"/>
          <w:szCs w:val="32"/>
        </w:rPr>
      </w:pPr>
      <w:r>
        <w:rPr>
          <w:rFonts w:hint="eastAsia" w:ascii="黑体" w:hAnsi="黑体" w:eastAsia="黑体" w:cs="宋体"/>
          <w:kern w:val="0"/>
          <w:sz w:val="32"/>
          <w:szCs w:val="32"/>
        </w:rPr>
        <w:t>一般公共预算情况</w:t>
      </w:r>
    </w:p>
    <w:p w14:paraId="375B4A40">
      <w:pPr>
        <w:numPr>
          <w:ilvl w:val="0"/>
          <w:numId w:val="0"/>
        </w:numPr>
        <w:adjustRightInd w:val="0"/>
        <w:snapToGrid w:val="0"/>
        <w:spacing w:line="240" w:lineRule="auto"/>
        <w:contextualSpacing/>
        <w:rPr>
          <w:rFonts w:hint="eastAsia" w:ascii="黑体" w:hAnsi="黑体" w:eastAsia="黑体" w:cs="宋体"/>
          <w:kern w:val="0"/>
          <w:sz w:val="32"/>
          <w:szCs w:val="32"/>
          <w:lang w:eastAsia="zh-CN"/>
        </w:rPr>
      </w:pPr>
      <w:r>
        <w:rPr>
          <w:rFonts w:hint="eastAsia" w:ascii="黑体" w:hAnsi="黑体" w:eastAsia="黑体" w:cs="宋体"/>
          <w:kern w:val="0"/>
          <w:sz w:val="32"/>
          <w:szCs w:val="32"/>
          <w:lang w:eastAsia="zh-CN"/>
        </w:rPr>
        <w:drawing>
          <wp:inline distT="0" distB="0" distL="114300" distR="114300">
            <wp:extent cx="6376035" cy="2849880"/>
            <wp:effectExtent l="0" t="0" r="5715" b="7620"/>
            <wp:docPr id="1" name="图片 1"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片1"/>
                    <pic:cNvPicPr>
                      <a:picLocks noChangeAspect="1"/>
                    </pic:cNvPicPr>
                  </pic:nvPicPr>
                  <pic:blipFill>
                    <a:blip r:embed="rId7"/>
                    <a:stretch>
                      <a:fillRect/>
                    </a:stretch>
                  </pic:blipFill>
                  <pic:spPr>
                    <a:xfrm>
                      <a:off x="0" y="0"/>
                      <a:ext cx="6376035" cy="2849880"/>
                    </a:xfrm>
                    <a:prstGeom prst="rect">
                      <a:avLst/>
                    </a:prstGeom>
                  </pic:spPr>
                </pic:pic>
              </a:graphicData>
            </a:graphic>
          </wp:inline>
        </w:drawing>
      </w:r>
    </w:p>
    <w:p w14:paraId="56C40DEB">
      <w:pPr>
        <w:widowControl/>
        <w:adjustRightInd w:val="0"/>
        <w:snapToGrid w:val="0"/>
        <w:spacing w:line="640" w:lineRule="exact"/>
        <w:ind w:firstLine="640" w:firstLineChars="200"/>
        <w:contextualSpacing/>
        <w:jc w:val="left"/>
        <w:rPr>
          <w:rFonts w:ascii="仿宋_GB2312" w:hAnsi="仿宋" w:eastAsia="仿宋_GB2312"/>
          <w:sz w:val="32"/>
          <w:szCs w:val="32"/>
        </w:rPr>
      </w:pPr>
      <w:r>
        <w:rPr>
          <w:rStyle w:val="22"/>
          <w:rFonts w:hint="eastAsia" w:ascii="仿宋_GB2312" w:hAnsi="仿宋" w:eastAsia="仿宋_GB2312"/>
        </w:rPr>
        <w:t>2024</w:t>
      </w:r>
      <w:r>
        <w:rPr>
          <w:rStyle w:val="21"/>
          <w:rFonts w:hint="default" w:hAnsi="仿宋"/>
        </w:rPr>
        <w:t>年一般公共预算当年支出</w:t>
      </w:r>
      <w:r>
        <w:rPr>
          <w:rStyle w:val="22"/>
          <w:rFonts w:hint="eastAsia" w:ascii="仿宋_GB2312" w:hAnsi="仿宋" w:eastAsia="仿宋_GB2312"/>
          <w:lang w:val="en-US" w:eastAsia="zh-CN"/>
        </w:rPr>
        <w:t>1880.81</w:t>
      </w:r>
      <w:r>
        <w:rPr>
          <w:rStyle w:val="21"/>
          <w:rFonts w:hint="default" w:hAnsi="仿宋"/>
        </w:rPr>
        <w:t>万元，包括：一般公共服务支出</w:t>
      </w:r>
      <w:r>
        <w:rPr>
          <w:rStyle w:val="22"/>
          <w:rFonts w:hint="eastAsia" w:ascii="仿宋_GB2312" w:hAnsi="仿宋" w:eastAsia="仿宋_GB2312"/>
          <w:lang w:val="en-US" w:eastAsia="zh-CN"/>
        </w:rPr>
        <w:t>996.14</w:t>
      </w:r>
      <w:r>
        <w:rPr>
          <w:rStyle w:val="21"/>
          <w:rFonts w:hint="default" w:hAnsi="仿宋"/>
        </w:rPr>
        <w:t>万元、社会保障和就业支出</w:t>
      </w:r>
      <w:r>
        <w:rPr>
          <w:rStyle w:val="21"/>
          <w:rFonts w:hint="eastAsia" w:hAnsi="仿宋" w:eastAsia="仿宋_GB2312"/>
          <w:lang w:val="en-US" w:eastAsia="zh-CN"/>
        </w:rPr>
        <w:t>93.18</w:t>
      </w:r>
      <w:r>
        <w:rPr>
          <w:rStyle w:val="21"/>
          <w:rFonts w:hint="default" w:hAnsi="仿宋"/>
        </w:rPr>
        <w:t>元、</w:t>
      </w:r>
      <w:r>
        <w:rPr>
          <w:rStyle w:val="21"/>
          <w:rFonts w:hint="eastAsia" w:hAnsi="仿宋" w:eastAsia="仿宋_GB2312"/>
          <w:lang w:eastAsia="zh-CN"/>
        </w:rPr>
        <w:t>卫生健康支出</w:t>
      </w:r>
      <w:r>
        <w:rPr>
          <w:rStyle w:val="21"/>
          <w:rFonts w:hint="eastAsia" w:hAnsi="仿宋" w:eastAsia="仿宋_GB2312"/>
          <w:lang w:val="en-US" w:eastAsia="zh-CN"/>
        </w:rPr>
        <w:t>62.49元、节能环保支出14.40万元、农林水支出642.80万元、住房保障支出71.80万元</w:t>
      </w:r>
      <w:r>
        <w:rPr>
          <w:rStyle w:val="21"/>
          <w:rFonts w:hint="default" w:hAnsi="仿宋"/>
        </w:rPr>
        <w:t>。</w:t>
      </w:r>
      <w:r>
        <w:rPr>
          <w:rFonts w:hint="eastAsia" w:ascii="仿宋_GB2312" w:hAnsi="仿宋" w:eastAsia="仿宋_GB2312"/>
          <w:sz w:val="32"/>
          <w:szCs w:val="32"/>
        </w:rPr>
        <w:t>具体安排情况如下</w:t>
      </w:r>
      <w:r>
        <w:rPr>
          <w:rFonts w:hint="eastAsia" w:ascii="仿宋_GB2312" w:hAnsi="微软雅黑" w:eastAsia="仿宋_GB2312"/>
          <w:sz w:val="32"/>
          <w:szCs w:val="32"/>
        </w:rPr>
        <w:t>（详见单位预算公开表4,5,6,7）</w:t>
      </w:r>
      <w:r>
        <w:rPr>
          <w:rFonts w:hint="eastAsia" w:ascii="仿宋_GB2312" w:hAnsi="仿宋" w:eastAsia="仿宋_GB2312"/>
          <w:sz w:val="32"/>
          <w:szCs w:val="32"/>
        </w:rPr>
        <w:t>：</w:t>
      </w:r>
    </w:p>
    <w:p w14:paraId="55AC73F9">
      <w:pPr>
        <w:spacing w:line="640" w:lineRule="exact"/>
        <w:ind w:firstLine="643" w:firstLineChars="200"/>
        <w:contextualSpacing/>
        <w:rPr>
          <w:rFonts w:ascii="楷体_GB2312" w:hAnsi="楷体" w:eastAsia="楷体_GB2312" w:cs="宋体"/>
          <w:b/>
          <w:bCs/>
          <w:kern w:val="0"/>
          <w:sz w:val="32"/>
          <w:szCs w:val="32"/>
        </w:rPr>
      </w:pPr>
      <w:r>
        <w:rPr>
          <w:rFonts w:hint="eastAsia" w:ascii="楷体_GB2312" w:hAnsi="楷体" w:eastAsia="楷体_GB2312" w:cs="宋体"/>
          <w:b/>
          <w:bCs/>
          <w:kern w:val="0"/>
          <w:sz w:val="32"/>
          <w:szCs w:val="32"/>
        </w:rPr>
        <w:t>（一）基本支出</w:t>
      </w:r>
    </w:p>
    <w:p w14:paraId="4DB71643">
      <w:pPr>
        <w:widowControl/>
        <w:spacing w:line="640" w:lineRule="exact"/>
        <w:ind w:firstLine="640" w:firstLineChars="200"/>
        <w:contextualSpacing/>
        <w:jc w:val="left"/>
        <w:rPr>
          <w:rFonts w:hint="eastAsia" w:ascii="仿宋_GB2312" w:hAnsi="仿宋" w:eastAsia="仿宋_GB2312"/>
          <w:sz w:val="32"/>
          <w:szCs w:val="32"/>
          <w:lang w:eastAsia="zh-CN"/>
        </w:rPr>
      </w:pPr>
      <w:r>
        <w:rPr>
          <w:rFonts w:hint="eastAsia" w:ascii="仿宋_GB2312" w:hAnsi="仿宋" w:eastAsia="仿宋_GB2312"/>
          <w:sz w:val="32"/>
          <w:szCs w:val="32"/>
        </w:rPr>
        <w:t>2024年基本支出</w:t>
      </w:r>
      <w:r>
        <w:rPr>
          <w:rFonts w:hint="eastAsia" w:ascii="仿宋_GB2312" w:hAnsi="仿宋" w:eastAsia="仿宋_GB2312"/>
          <w:sz w:val="32"/>
          <w:szCs w:val="32"/>
          <w:lang w:val="en-US" w:eastAsia="zh-CN"/>
        </w:rPr>
        <w:t>1072.77</w:t>
      </w:r>
      <w:r>
        <w:rPr>
          <w:rFonts w:hint="eastAsia" w:ascii="仿宋_GB2312" w:hAnsi="仿宋" w:eastAsia="仿宋_GB2312"/>
          <w:sz w:val="32"/>
          <w:szCs w:val="32"/>
        </w:rPr>
        <w:t>万元，比202</w:t>
      </w:r>
      <w:r>
        <w:rPr>
          <w:rFonts w:hint="eastAsia" w:ascii="仿宋_GB2312" w:hAnsi="仿宋" w:eastAsia="仿宋_GB2312"/>
          <w:sz w:val="32"/>
          <w:szCs w:val="32"/>
          <w:lang w:val="en-US" w:eastAsia="zh-CN"/>
        </w:rPr>
        <w:t>4</w:t>
      </w:r>
      <w:r>
        <w:rPr>
          <w:rFonts w:hint="eastAsia" w:ascii="仿宋_GB2312" w:hAnsi="仿宋" w:eastAsia="仿宋_GB2312"/>
          <w:sz w:val="32"/>
          <w:szCs w:val="32"/>
        </w:rPr>
        <w:t>年预算减</w:t>
      </w:r>
      <w:r>
        <w:rPr>
          <w:rFonts w:hint="eastAsia" w:ascii="仿宋_GB2312" w:hAnsi="仿宋" w:eastAsia="仿宋_GB2312"/>
          <w:sz w:val="32"/>
          <w:szCs w:val="32"/>
          <w:lang w:eastAsia="zh-CN"/>
        </w:rPr>
        <w:t>少</w:t>
      </w:r>
      <w:r>
        <w:rPr>
          <w:rFonts w:hint="eastAsia" w:ascii="仿宋_GB2312" w:hAnsi="仿宋" w:eastAsia="仿宋_GB2312"/>
          <w:sz w:val="32"/>
          <w:szCs w:val="32"/>
          <w:lang w:val="en-US" w:eastAsia="zh-CN"/>
        </w:rPr>
        <w:t>20.2</w:t>
      </w:r>
      <w:r>
        <w:rPr>
          <w:rFonts w:hint="eastAsia" w:ascii="仿宋_GB2312" w:hAnsi="仿宋" w:eastAsia="仿宋_GB2312"/>
          <w:sz w:val="32"/>
          <w:szCs w:val="32"/>
        </w:rPr>
        <w:t>万元，下降</w:t>
      </w:r>
      <w:r>
        <w:rPr>
          <w:rFonts w:hint="eastAsia" w:ascii="仿宋_GB2312" w:hAnsi="仿宋" w:eastAsia="仿宋_GB2312"/>
          <w:sz w:val="32"/>
          <w:szCs w:val="32"/>
          <w:lang w:val="en-US" w:eastAsia="zh-CN"/>
        </w:rPr>
        <w:t>1.85</w:t>
      </w:r>
      <w:r>
        <w:rPr>
          <w:rFonts w:hint="eastAsia" w:ascii="仿宋_GB2312" w:hAnsi="仿宋" w:eastAsia="仿宋_GB2312"/>
          <w:sz w:val="32"/>
          <w:szCs w:val="32"/>
        </w:rPr>
        <w:t>%，下降的主要原因是</w:t>
      </w:r>
      <w:r>
        <w:rPr>
          <w:rFonts w:hint="eastAsia" w:ascii="仿宋_GB2312" w:hAnsi="仿宋" w:eastAsia="仿宋_GB2312"/>
          <w:sz w:val="32"/>
          <w:szCs w:val="32"/>
          <w:lang w:eastAsia="zh-CN"/>
        </w:rPr>
        <w:t>人员工资变动。</w:t>
      </w:r>
    </w:p>
    <w:p w14:paraId="2424519C">
      <w:pPr>
        <w:widowControl/>
        <w:adjustRightInd w:val="0"/>
        <w:snapToGrid w:val="0"/>
        <w:spacing w:line="640" w:lineRule="exact"/>
        <w:ind w:firstLine="640" w:firstLineChars="200"/>
        <w:contextualSpacing/>
        <w:jc w:val="left"/>
        <w:rPr>
          <w:rFonts w:ascii="仿宋_GB2312" w:hAnsi="仿宋" w:eastAsia="仿宋_GB2312"/>
          <w:sz w:val="32"/>
          <w:szCs w:val="32"/>
        </w:rPr>
      </w:pPr>
      <w:r>
        <w:rPr>
          <w:rFonts w:hint="eastAsia" w:ascii="仿宋_GB2312" w:hAnsi="仿宋" w:eastAsia="仿宋_GB2312"/>
          <w:sz w:val="32"/>
          <w:szCs w:val="32"/>
        </w:rPr>
        <w:t>其中：人员经费支出</w:t>
      </w:r>
      <w:r>
        <w:rPr>
          <w:rFonts w:hint="eastAsia" w:ascii="仿宋_GB2312" w:hAnsi="仿宋" w:eastAsia="仿宋_GB2312"/>
          <w:sz w:val="32"/>
          <w:szCs w:val="32"/>
          <w:lang w:val="en-US" w:eastAsia="zh-CN"/>
        </w:rPr>
        <w:t>921.35</w:t>
      </w:r>
      <w:r>
        <w:rPr>
          <w:rFonts w:hint="eastAsia" w:ascii="仿宋_GB2312" w:hAnsi="仿宋" w:eastAsia="仿宋_GB2312"/>
          <w:sz w:val="32"/>
          <w:szCs w:val="32"/>
        </w:rPr>
        <w:t>万元，主要包括：基本工资、津贴补贴、奖金、绩效工资、</w:t>
      </w:r>
      <w:r>
        <w:rPr>
          <w:rFonts w:hint="eastAsia" w:ascii="仿宋_GB2312" w:hAnsi="仿宋" w:eastAsia="仿宋_GB2312"/>
          <w:sz w:val="32"/>
          <w:szCs w:val="32"/>
          <w:lang w:eastAsia="zh-CN"/>
        </w:rPr>
        <w:t>其他工资福利支出、</w:t>
      </w:r>
      <w:r>
        <w:rPr>
          <w:rFonts w:hint="eastAsia" w:ascii="仿宋_GB2312" w:hAnsi="仿宋" w:eastAsia="仿宋_GB2312"/>
          <w:sz w:val="32"/>
          <w:szCs w:val="32"/>
        </w:rPr>
        <w:t>机关事业单位基本养老保险缴费、</w:t>
      </w:r>
      <w:r>
        <w:rPr>
          <w:rFonts w:hint="eastAsia" w:ascii="仿宋_GB2312" w:hAnsi="仿宋" w:eastAsia="仿宋_GB2312"/>
          <w:sz w:val="32"/>
          <w:szCs w:val="32"/>
          <w:lang w:eastAsia="zh-CN"/>
        </w:rPr>
        <w:t>其他社会保障缴费</w:t>
      </w:r>
      <w:r>
        <w:rPr>
          <w:rFonts w:hint="eastAsia" w:ascii="仿宋_GB2312" w:hAnsi="仿宋" w:eastAsia="仿宋_GB2312"/>
          <w:sz w:val="32"/>
          <w:szCs w:val="32"/>
        </w:rPr>
        <w:t>、职工基本医疗保险缴费、公务员医疗补助缴费、住房公积金、生活补助、</w:t>
      </w:r>
      <w:r>
        <w:rPr>
          <w:rFonts w:hint="eastAsia" w:ascii="仿宋_GB2312" w:hAnsi="仿宋" w:eastAsia="仿宋_GB2312"/>
          <w:sz w:val="32"/>
          <w:szCs w:val="32"/>
          <w:lang w:eastAsia="zh-CN"/>
        </w:rPr>
        <w:t>奖励金</w:t>
      </w:r>
      <w:r>
        <w:rPr>
          <w:rFonts w:hint="eastAsia" w:ascii="仿宋_GB2312" w:hAnsi="仿宋" w:eastAsia="仿宋_GB2312"/>
          <w:sz w:val="32"/>
          <w:szCs w:val="32"/>
        </w:rPr>
        <w:t>、</w:t>
      </w:r>
      <w:r>
        <w:rPr>
          <w:rFonts w:hint="eastAsia" w:ascii="仿宋_GB2312" w:hAnsi="仿宋" w:eastAsia="仿宋_GB2312"/>
          <w:sz w:val="32"/>
          <w:szCs w:val="32"/>
          <w:lang w:eastAsia="zh-CN"/>
        </w:rPr>
        <w:t>医疗费补助等</w:t>
      </w:r>
      <w:r>
        <w:rPr>
          <w:rFonts w:hint="eastAsia" w:ascii="仿宋_GB2312" w:hAnsi="仿宋" w:eastAsia="仿宋_GB2312"/>
          <w:sz w:val="32"/>
          <w:szCs w:val="32"/>
        </w:rPr>
        <w:t>。</w:t>
      </w:r>
    </w:p>
    <w:p w14:paraId="0C674860">
      <w:pPr>
        <w:widowControl/>
        <w:adjustRightInd w:val="0"/>
        <w:snapToGrid w:val="0"/>
        <w:spacing w:line="640" w:lineRule="exact"/>
        <w:ind w:firstLine="640" w:firstLineChars="200"/>
        <w:contextualSpacing/>
        <w:jc w:val="left"/>
        <w:rPr>
          <w:rFonts w:hint="eastAsia" w:ascii="仿宋_GB2312" w:hAnsi="仿宋" w:eastAsia="仿宋_GB2312"/>
          <w:sz w:val="32"/>
          <w:szCs w:val="32"/>
          <w:lang w:eastAsia="zh-CN"/>
        </w:rPr>
      </w:pPr>
      <w:r>
        <w:rPr>
          <w:rFonts w:hint="eastAsia" w:ascii="仿宋_GB2312" w:hAnsi="仿宋" w:eastAsia="仿宋_GB2312"/>
          <w:sz w:val="32"/>
          <w:szCs w:val="32"/>
        </w:rPr>
        <w:t>公用经费</w:t>
      </w:r>
      <w:r>
        <w:rPr>
          <w:rFonts w:hint="eastAsia" w:ascii="仿宋_GB2312" w:hAnsi="仿宋" w:eastAsia="仿宋_GB2312"/>
          <w:sz w:val="32"/>
          <w:szCs w:val="32"/>
          <w:lang w:eastAsia="zh-CN"/>
        </w:rPr>
        <w:t>支付</w:t>
      </w:r>
      <w:r>
        <w:rPr>
          <w:rFonts w:hint="eastAsia" w:ascii="仿宋_GB2312" w:hAnsi="仿宋" w:eastAsia="仿宋_GB2312"/>
          <w:sz w:val="32"/>
          <w:szCs w:val="32"/>
          <w:lang w:val="en-US" w:eastAsia="zh-CN"/>
        </w:rPr>
        <w:t>151.43</w:t>
      </w:r>
      <w:r>
        <w:rPr>
          <w:rFonts w:hint="eastAsia" w:ascii="仿宋_GB2312" w:hAnsi="仿宋" w:eastAsia="仿宋_GB2312"/>
          <w:sz w:val="32"/>
          <w:szCs w:val="32"/>
        </w:rPr>
        <w:t>万元，主要包括：办公费、印刷费、电费、邮电费、取暖费、差旅费、维修（护）费、会议费、培训费、公务接待费、劳务费、工会经费、福利费</w:t>
      </w:r>
      <w:r>
        <w:rPr>
          <w:rFonts w:hint="eastAsia" w:ascii="仿宋_GB2312" w:hAnsi="仿宋" w:eastAsia="仿宋_GB2312"/>
          <w:sz w:val="32"/>
          <w:szCs w:val="32"/>
          <w:lang w:eastAsia="zh-CN"/>
        </w:rPr>
        <w:t>、委托业务费、其他交通费用等。</w:t>
      </w:r>
    </w:p>
    <w:p w14:paraId="24A996B4">
      <w:pPr>
        <w:adjustRightInd w:val="0"/>
        <w:snapToGrid w:val="0"/>
        <w:spacing w:line="640" w:lineRule="exact"/>
        <w:ind w:firstLine="643" w:firstLineChars="200"/>
        <w:contextualSpacing/>
        <w:rPr>
          <w:rFonts w:ascii="楷体_GB2312" w:hAnsi="楷体" w:eastAsia="楷体_GB2312" w:cs="宋体"/>
          <w:b/>
          <w:bCs/>
          <w:kern w:val="0"/>
          <w:sz w:val="32"/>
          <w:szCs w:val="32"/>
        </w:rPr>
      </w:pPr>
      <w:r>
        <w:rPr>
          <w:rFonts w:hint="eastAsia" w:ascii="楷体_GB2312" w:hAnsi="楷体" w:eastAsia="楷体_GB2312" w:cs="宋体"/>
          <w:b/>
          <w:bCs/>
          <w:kern w:val="0"/>
          <w:sz w:val="32"/>
          <w:szCs w:val="32"/>
        </w:rPr>
        <w:t>（二）项目支出</w:t>
      </w:r>
    </w:p>
    <w:p w14:paraId="16A61690">
      <w:pPr>
        <w:widowControl/>
        <w:adjustRightInd w:val="0"/>
        <w:snapToGrid w:val="0"/>
        <w:spacing w:line="640" w:lineRule="exact"/>
        <w:ind w:firstLine="640" w:firstLineChars="200"/>
        <w:contextualSpacing/>
        <w:jc w:val="left"/>
        <w:rPr>
          <w:rFonts w:hint="eastAsia" w:ascii="方正仿宋_GB2312" w:hAnsi="方正仿宋_GB2312" w:eastAsia="方正仿宋_GB2312" w:cs="方正仿宋_GB2312"/>
          <w:sz w:val="32"/>
          <w:szCs w:val="32"/>
        </w:rPr>
      </w:pPr>
      <w:r>
        <w:rPr>
          <w:rFonts w:hint="eastAsia" w:ascii="仿宋_GB2312" w:hAnsi="仿宋" w:eastAsia="仿宋_GB2312"/>
          <w:sz w:val="32"/>
          <w:szCs w:val="32"/>
        </w:rPr>
        <w:t>202</w:t>
      </w:r>
      <w:r>
        <w:rPr>
          <w:rFonts w:hint="eastAsia" w:ascii="仿宋_GB2312" w:hAnsi="仿宋" w:eastAsia="仿宋_GB2312"/>
          <w:sz w:val="32"/>
          <w:szCs w:val="32"/>
          <w:lang w:val="en-US" w:eastAsia="zh-CN"/>
        </w:rPr>
        <w:t>5</w:t>
      </w:r>
      <w:r>
        <w:rPr>
          <w:rFonts w:hint="eastAsia" w:ascii="仿宋_GB2312" w:hAnsi="仿宋" w:eastAsia="仿宋_GB2312"/>
          <w:sz w:val="32"/>
          <w:szCs w:val="32"/>
        </w:rPr>
        <w:t>年一般公共预算财政拨款项目支出预算</w:t>
      </w:r>
      <w:r>
        <w:rPr>
          <w:rFonts w:hint="eastAsia" w:ascii="仿宋_GB2312" w:hAnsi="仿宋" w:eastAsia="仿宋_GB2312"/>
          <w:sz w:val="32"/>
          <w:szCs w:val="32"/>
          <w:lang w:val="en-US" w:eastAsia="zh-CN"/>
        </w:rPr>
        <w:t>808.04</w:t>
      </w:r>
      <w:r>
        <w:rPr>
          <w:rFonts w:hint="eastAsia" w:ascii="仿宋_GB2312" w:hAnsi="仿宋" w:eastAsia="仿宋_GB2312"/>
          <w:sz w:val="32"/>
          <w:szCs w:val="32"/>
        </w:rPr>
        <w:t>万元，比202</w:t>
      </w:r>
      <w:r>
        <w:rPr>
          <w:rFonts w:hint="eastAsia" w:ascii="仿宋_GB2312" w:hAnsi="仿宋" w:eastAsia="仿宋_GB2312"/>
          <w:sz w:val="32"/>
          <w:szCs w:val="32"/>
          <w:lang w:val="en-US" w:eastAsia="zh-CN"/>
        </w:rPr>
        <w:t>4</w:t>
      </w:r>
      <w:r>
        <w:rPr>
          <w:rFonts w:hint="eastAsia" w:ascii="仿宋_GB2312" w:hAnsi="仿宋" w:eastAsia="仿宋_GB2312"/>
          <w:sz w:val="32"/>
          <w:szCs w:val="32"/>
        </w:rPr>
        <w:t>年预算增加</w:t>
      </w:r>
      <w:r>
        <w:rPr>
          <w:rFonts w:hint="eastAsia" w:ascii="仿宋_GB2312" w:hAnsi="仿宋" w:eastAsia="仿宋_GB2312"/>
          <w:sz w:val="32"/>
          <w:szCs w:val="32"/>
          <w:lang w:val="en-US" w:eastAsia="zh-CN"/>
        </w:rPr>
        <w:t>60.73</w:t>
      </w:r>
      <w:r>
        <w:rPr>
          <w:rFonts w:hint="eastAsia" w:ascii="仿宋_GB2312" w:hAnsi="仿宋" w:eastAsia="仿宋_GB2312"/>
          <w:sz w:val="32"/>
          <w:szCs w:val="32"/>
        </w:rPr>
        <w:t>万元，增长</w:t>
      </w:r>
      <w:r>
        <w:rPr>
          <w:rFonts w:hint="eastAsia" w:ascii="仿宋_GB2312" w:hAnsi="仿宋" w:eastAsia="仿宋_GB2312"/>
          <w:sz w:val="32"/>
          <w:szCs w:val="32"/>
          <w:lang w:val="en-US" w:eastAsia="zh-CN"/>
        </w:rPr>
        <w:t>8.13</w:t>
      </w:r>
      <w:r>
        <w:rPr>
          <w:rFonts w:hint="eastAsia" w:ascii="仿宋_GB2312" w:hAnsi="仿宋" w:eastAsia="仿宋_GB2312"/>
          <w:sz w:val="32"/>
          <w:szCs w:val="32"/>
        </w:rPr>
        <w:t>%，</w:t>
      </w:r>
      <w:r>
        <w:rPr>
          <w:rFonts w:hint="eastAsia" w:ascii="仿宋_GB2312" w:hAnsi="仿宋" w:eastAsia="仿宋_GB2312"/>
          <w:sz w:val="32"/>
          <w:szCs w:val="32"/>
          <w:highlight w:val="none"/>
        </w:rPr>
        <w:t>增长的主要原因是</w:t>
      </w:r>
      <w:r>
        <w:rPr>
          <w:rFonts w:hint="eastAsia" w:ascii="方正仿宋_GB2312" w:hAnsi="方正仿宋_GB2312" w:eastAsia="方正仿宋_GB2312" w:cs="方正仿宋_GB2312"/>
          <w:sz w:val="32"/>
          <w:szCs w:val="32"/>
        </w:rPr>
        <w:t>本年业务量的增加引起项目资金支出的增加，以及本年出台了新的祁连山生态管护员管理办法，生态管护员报酬发放标准的变化引起项目资金略有增加。</w:t>
      </w:r>
    </w:p>
    <w:p w14:paraId="1A6F4D40">
      <w:pPr>
        <w:widowControl/>
        <w:adjustRightInd w:val="0"/>
        <w:snapToGrid w:val="0"/>
        <w:spacing w:line="640" w:lineRule="exact"/>
        <w:ind w:firstLine="640" w:firstLineChars="200"/>
        <w:contextualSpacing/>
        <w:jc w:val="left"/>
        <w:rPr>
          <w:rFonts w:ascii="仿宋_GB2312" w:hAnsi="仿宋" w:eastAsia="仿宋_GB2312"/>
          <w:sz w:val="32"/>
          <w:szCs w:val="32"/>
          <w:highlight w:val="none"/>
        </w:rPr>
      </w:pPr>
      <w:r>
        <w:rPr>
          <w:rFonts w:hint="eastAsia" w:ascii="仿宋_GB2312" w:hAnsi="仿宋" w:eastAsia="仿宋_GB2312"/>
          <w:sz w:val="32"/>
          <w:szCs w:val="32"/>
          <w:highlight w:val="none"/>
        </w:rPr>
        <w:t>保障运转经费</w:t>
      </w:r>
      <w:r>
        <w:rPr>
          <w:rFonts w:hint="eastAsia" w:ascii="仿宋_GB2312" w:hAnsi="仿宋" w:eastAsia="仿宋_GB2312"/>
          <w:sz w:val="32"/>
          <w:szCs w:val="32"/>
          <w:highlight w:val="none"/>
          <w:lang w:val="en-US" w:eastAsia="zh-CN"/>
        </w:rPr>
        <w:t>2</w:t>
      </w:r>
      <w:r>
        <w:rPr>
          <w:rFonts w:hint="eastAsia" w:ascii="仿宋_GB2312" w:hAnsi="仿宋" w:eastAsia="仿宋_GB2312"/>
          <w:sz w:val="32"/>
          <w:szCs w:val="32"/>
          <w:highlight w:val="none"/>
        </w:rPr>
        <w:t>个，主要是项目1</w:t>
      </w:r>
      <w:r>
        <w:rPr>
          <w:rFonts w:hint="eastAsia" w:ascii="仿宋_GB2312" w:hAnsi="仿宋" w:eastAsia="仿宋_GB2312"/>
          <w:sz w:val="32"/>
          <w:szCs w:val="32"/>
          <w:highlight w:val="none"/>
          <w:lang w:eastAsia="zh-CN"/>
        </w:rPr>
        <w:t>公共设施管理费，</w:t>
      </w:r>
      <w:r>
        <w:rPr>
          <w:rFonts w:hint="eastAsia" w:ascii="仿宋_GB2312" w:hAnsi="仿宋" w:eastAsia="仿宋_GB2312"/>
          <w:sz w:val="32"/>
          <w:szCs w:val="32"/>
          <w:highlight w:val="none"/>
        </w:rPr>
        <w:t>项目2</w:t>
      </w:r>
      <w:r>
        <w:rPr>
          <w:rFonts w:hint="eastAsia" w:ascii="仿宋_GB2312" w:hAnsi="仿宋" w:eastAsia="仿宋_GB2312"/>
          <w:sz w:val="32"/>
          <w:szCs w:val="32"/>
          <w:highlight w:val="none"/>
          <w:lang w:eastAsia="zh-CN"/>
        </w:rPr>
        <w:t>交管经费</w:t>
      </w:r>
      <w:r>
        <w:rPr>
          <w:rFonts w:hint="eastAsia" w:ascii="仿宋_GB2312" w:hAnsi="仿宋" w:eastAsia="仿宋_GB2312"/>
          <w:sz w:val="32"/>
          <w:szCs w:val="32"/>
          <w:highlight w:val="none"/>
        </w:rPr>
        <w:t>。</w:t>
      </w:r>
    </w:p>
    <w:p w14:paraId="409B6578">
      <w:pPr>
        <w:pStyle w:val="7"/>
        <w:widowControl/>
        <w:spacing w:beforeAutospacing="0" w:afterAutospacing="0" w:line="560" w:lineRule="exact"/>
        <w:ind w:firstLine="640" w:firstLineChars="200"/>
        <w:rPr>
          <w:rFonts w:hint="default" w:ascii="仿宋_GB2312" w:hAnsi="仿宋" w:eastAsia="仿宋_GB2312"/>
          <w:sz w:val="32"/>
          <w:szCs w:val="32"/>
          <w:highlight w:val="green"/>
          <w:lang w:val="en-US"/>
        </w:rPr>
      </w:pPr>
      <w:r>
        <w:rPr>
          <w:rFonts w:hint="eastAsia" w:ascii="仿宋_GB2312" w:hAnsi="仿宋" w:eastAsia="仿宋_GB2312"/>
          <w:sz w:val="32"/>
          <w:szCs w:val="32"/>
          <w:highlight w:val="none"/>
        </w:rPr>
        <w:t>其他项目</w:t>
      </w:r>
      <w:r>
        <w:rPr>
          <w:rFonts w:hint="eastAsia" w:ascii="仿宋_GB2312" w:hAnsi="仿宋" w:eastAsia="仿宋_GB2312"/>
          <w:sz w:val="32"/>
          <w:szCs w:val="32"/>
          <w:highlight w:val="none"/>
          <w:lang w:val="en-US" w:eastAsia="zh-CN"/>
        </w:rPr>
        <w:t>14</w:t>
      </w:r>
      <w:r>
        <w:rPr>
          <w:rFonts w:hint="eastAsia" w:ascii="仿宋_GB2312" w:hAnsi="仿宋" w:eastAsia="仿宋_GB2312"/>
          <w:sz w:val="32"/>
          <w:szCs w:val="32"/>
          <w:highlight w:val="none"/>
        </w:rPr>
        <w:t>个，主要是项目1</w:t>
      </w:r>
      <w:r>
        <w:rPr>
          <w:rFonts w:hint="eastAsia" w:ascii="仿宋_GB2312" w:hAnsi="仿宋_GB2312" w:eastAsia="仿宋_GB2312" w:cs="仿宋_GB2312"/>
          <w:sz w:val="32"/>
          <w:szCs w:val="32"/>
          <w:lang w:val="en-US" w:eastAsia="zh-CN"/>
        </w:rPr>
        <w:t>自收自支人员及公用经费、</w:t>
      </w:r>
      <w:r>
        <w:rPr>
          <w:rFonts w:hint="eastAsia" w:ascii="仿宋_GB2312" w:hAnsi="仿宋" w:eastAsia="仿宋_GB2312"/>
          <w:sz w:val="32"/>
          <w:szCs w:val="32"/>
          <w:highlight w:val="none"/>
        </w:rPr>
        <w:t>项目2</w:t>
      </w:r>
      <w:r>
        <w:rPr>
          <w:rFonts w:hint="eastAsia" w:ascii="仿宋_GB2312" w:hAnsi="仿宋" w:eastAsia="仿宋_GB2312"/>
          <w:sz w:val="32"/>
          <w:szCs w:val="32"/>
          <w:highlight w:val="none"/>
          <w:lang w:eastAsia="zh-CN"/>
        </w:rPr>
        <w:t>祁连山</w:t>
      </w:r>
      <w:r>
        <w:rPr>
          <w:rFonts w:hint="eastAsia" w:ascii="仿宋_GB2312" w:hAnsi="仿宋_GB2312" w:eastAsia="仿宋_GB2312" w:cs="仿宋_GB2312"/>
          <w:sz w:val="32"/>
          <w:szCs w:val="32"/>
          <w:lang w:val="en-US" w:eastAsia="zh-CN"/>
        </w:rPr>
        <w:t>生态管护员工作经费、</w:t>
      </w:r>
      <w:r>
        <w:rPr>
          <w:rFonts w:hint="eastAsia" w:ascii="仿宋_GB2312" w:hAnsi="仿宋" w:eastAsia="仿宋_GB2312"/>
          <w:sz w:val="32"/>
          <w:szCs w:val="32"/>
          <w:highlight w:val="none"/>
        </w:rPr>
        <w:t>项目</w:t>
      </w:r>
      <w:r>
        <w:rPr>
          <w:rFonts w:hint="eastAsia" w:ascii="仿宋_GB2312" w:hAnsi="仿宋" w:eastAsia="仿宋_GB2312"/>
          <w:sz w:val="32"/>
          <w:szCs w:val="32"/>
          <w:highlight w:val="none"/>
          <w:lang w:val="en-US" w:eastAsia="zh-CN"/>
        </w:rPr>
        <w:t>3祁连山国家自然保护区生态管护员生活报酬、</w:t>
      </w:r>
      <w:r>
        <w:rPr>
          <w:rFonts w:hint="eastAsia" w:ascii="仿宋_GB2312" w:hAnsi="仿宋" w:eastAsia="仿宋_GB2312"/>
          <w:sz w:val="32"/>
          <w:szCs w:val="32"/>
          <w:highlight w:val="none"/>
        </w:rPr>
        <w:t>项目</w:t>
      </w:r>
      <w:r>
        <w:rPr>
          <w:rFonts w:hint="eastAsia" w:ascii="仿宋_GB2312" w:hAnsi="仿宋" w:eastAsia="仿宋_GB2312"/>
          <w:sz w:val="32"/>
          <w:szCs w:val="32"/>
          <w:highlight w:val="none"/>
          <w:lang w:val="en-US" w:eastAsia="zh-CN"/>
        </w:rPr>
        <w:t>4</w:t>
      </w:r>
      <w:r>
        <w:rPr>
          <w:rFonts w:hint="eastAsia" w:ascii="仿宋_GB2312" w:hAnsi="仿宋_GB2312" w:eastAsia="仿宋_GB2312" w:cs="仿宋_GB2312"/>
          <w:sz w:val="32"/>
          <w:szCs w:val="32"/>
          <w:lang w:val="en-US" w:eastAsia="zh-CN"/>
        </w:rPr>
        <w:t>水利设施维护费、</w:t>
      </w:r>
      <w:r>
        <w:rPr>
          <w:rFonts w:hint="eastAsia" w:ascii="仿宋_GB2312" w:hAnsi="仿宋" w:eastAsia="仿宋_GB2312"/>
          <w:sz w:val="32"/>
          <w:szCs w:val="32"/>
          <w:highlight w:val="none"/>
        </w:rPr>
        <w:t>项目</w:t>
      </w:r>
      <w:r>
        <w:rPr>
          <w:rFonts w:hint="eastAsia" w:ascii="仿宋_GB2312" w:hAnsi="仿宋" w:eastAsia="仿宋_GB2312"/>
          <w:sz w:val="32"/>
          <w:szCs w:val="32"/>
          <w:highlight w:val="none"/>
          <w:lang w:val="en-US" w:eastAsia="zh-CN"/>
        </w:rPr>
        <w:t>5</w:t>
      </w:r>
      <w:r>
        <w:rPr>
          <w:rFonts w:hint="eastAsia" w:ascii="仿宋_GB2312" w:hAnsi="仿宋_GB2312" w:eastAsia="仿宋_GB2312" w:cs="仿宋_GB2312"/>
          <w:sz w:val="32"/>
          <w:szCs w:val="32"/>
          <w:lang w:val="en-US" w:eastAsia="zh-CN"/>
        </w:rPr>
        <w:t>村级办公经费、</w:t>
      </w:r>
      <w:r>
        <w:rPr>
          <w:rFonts w:hint="eastAsia" w:ascii="仿宋_GB2312" w:hAnsi="仿宋" w:eastAsia="仿宋_GB2312"/>
          <w:sz w:val="32"/>
          <w:szCs w:val="32"/>
          <w:highlight w:val="none"/>
        </w:rPr>
        <w:t>项目</w:t>
      </w:r>
      <w:r>
        <w:rPr>
          <w:rFonts w:hint="eastAsia" w:ascii="仿宋_GB2312" w:hAnsi="仿宋" w:eastAsia="仿宋_GB2312"/>
          <w:sz w:val="32"/>
          <w:szCs w:val="32"/>
          <w:highlight w:val="none"/>
          <w:lang w:val="en-US" w:eastAsia="zh-CN"/>
        </w:rPr>
        <w:t>6</w:t>
      </w:r>
      <w:r>
        <w:rPr>
          <w:rFonts w:hint="eastAsia" w:ascii="仿宋_GB2312" w:hAnsi="仿宋_GB2312" w:eastAsia="仿宋_GB2312" w:cs="仿宋_GB2312"/>
          <w:sz w:val="32"/>
          <w:szCs w:val="32"/>
          <w:lang w:val="en-US" w:eastAsia="zh-CN"/>
        </w:rPr>
        <w:t>村级公益性设施管护经费、</w:t>
      </w:r>
      <w:r>
        <w:rPr>
          <w:rFonts w:hint="eastAsia" w:ascii="仿宋_GB2312" w:hAnsi="仿宋" w:eastAsia="仿宋_GB2312"/>
          <w:sz w:val="32"/>
          <w:szCs w:val="32"/>
          <w:highlight w:val="none"/>
        </w:rPr>
        <w:t>项目</w:t>
      </w:r>
      <w:r>
        <w:rPr>
          <w:rFonts w:hint="eastAsia" w:ascii="仿宋_GB2312" w:hAnsi="仿宋" w:eastAsia="仿宋_GB2312"/>
          <w:sz w:val="32"/>
          <w:szCs w:val="32"/>
          <w:highlight w:val="none"/>
          <w:lang w:val="en-US" w:eastAsia="zh-CN"/>
        </w:rPr>
        <w:t>7</w:t>
      </w:r>
      <w:r>
        <w:rPr>
          <w:rFonts w:hint="eastAsia" w:ascii="仿宋_GB2312" w:hAnsi="仿宋_GB2312" w:eastAsia="仿宋_GB2312" w:cs="仿宋_GB2312"/>
          <w:sz w:val="32"/>
          <w:szCs w:val="32"/>
          <w:lang w:val="en-US" w:eastAsia="zh-CN"/>
        </w:rPr>
        <w:t>全域无垃圾保洁员工资、</w:t>
      </w:r>
      <w:r>
        <w:rPr>
          <w:rFonts w:hint="eastAsia" w:ascii="仿宋_GB2312" w:hAnsi="仿宋" w:eastAsia="仿宋_GB2312"/>
          <w:sz w:val="32"/>
          <w:szCs w:val="32"/>
          <w:highlight w:val="none"/>
        </w:rPr>
        <w:t>项目</w:t>
      </w:r>
      <w:r>
        <w:rPr>
          <w:rFonts w:hint="eastAsia" w:ascii="仿宋_GB2312" w:hAnsi="仿宋" w:eastAsia="仿宋_GB2312"/>
          <w:sz w:val="32"/>
          <w:szCs w:val="32"/>
          <w:highlight w:val="none"/>
          <w:lang w:val="en-US" w:eastAsia="zh-CN"/>
        </w:rPr>
        <w:t>8</w:t>
      </w:r>
      <w:r>
        <w:rPr>
          <w:rFonts w:hint="eastAsia" w:ascii="仿宋_GB2312" w:hAnsi="仿宋_GB2312" w:eastAsia="仿宋_GB2312" w:cs="仿宋_GB2312"/>
          <w:sz w:val="32"/>
          <w:szCs w:val="32"/>
          <w:lang w:val="en-US" w:eastAsia="zh-CN"/>
        </w:rPr>
        <w:t>村干部报酬、</w:t>
      </w:r>
      <w:r>
        <w:rPr>
          <w:rFonts w:hint="eastAsia" w:ascii="仿宋_GB2312" w:hAnsi="仿宋" w:eastAsia="仿宋_GB2312"/>
          <w:sz w:val="32"/>
          <w:szCs w:val="32"/>
          <w:highlight w:val="none"/>
        </w:rPr>
        <w:t>项目</w:t>
      </w:r>
      <w:r>
        <w:rPr>
          <w:rFonts w:hint="eastAsia" w:ascii="仿宋_GB2312" w:hAnsi="仿宋" w:eastAsia="仿宋_GB2312"/>
          <w:sz w:val="32"/>
          <w:szCs w:val="32"/>
          <w:highlight w:val="none"/>
          <w:lang w:val="en-US" w:eastAsia="zh-CN"/>
        </w:rPr>
        <w:t>9人大代表活动经费、</w:t>
      </w:r>
      <w:r>
        <w:rPr>
          <w:rFonts w:hint="eastAsia" w:ascii="仿宋_GB2312" w:hAnsi="仿宋" w:eastAsia="仿宋_GB2312"/>
          <w:sz w:val="32"/>
          <w:szCs w:val="32"/>
          <w:highlight w:val="none"/>
        </w:rPr>
        <w:t>项目</w:t>
      </w:r>
      <w:r>
        <w:rPr>
          <w:rFonts w:hint="eastAsia" w:ascii="仿宋_GB2312" w:hAnsi="仿宋" w:eastAsia="仿宋_GB2312"/>
          <w:sz w:val="32"/>
          <w:szCs w:val="32"/>
          <w:highlight w:val="none"/>
          <w:lang w:val="en-US" w:eastAsia="zh-CN"/>
        </w:rPr>
        <w:t>10人大之家工作经费、</w:t>
      </w:r>
      <w:r>
        <w:rPr>
          <w:rFonts w:hint="eastAsia" w:ascii="仿宋_GB2312" w:hAnsi="仿宋" w:eastAsia="仿宋_GB2312"/>
          <w:sz w:val="32"/>
          <w:szCs w:val="32"/>
          <w:highlight w:val="none"/>
        </w:rPr>
        <w:t>项目</w:t>
      </w:r>
      <w:r>
        <w:rPr>
          <w:rFonts w:hint="eastAsia" w:ascii="仿宋_GB2312" w:hAnsi="仿宋" w:eastAsia="仿宋_GB2312"/>
          <w:sz w:val="32"/>
          <w:szCs w:val="32"/>
          <w:highlight w:val="none"/>
          <w:lang w:val="en-US" w:eastAsia="zh-CN"/>
        </w:rPr>
        <w:t>11政协委员工作站及“政协委员之家”工作经费、</w:t>
      </w:r>
      <w:r>
        <w:rPr>
          <w:rFonts w:hint="eastAsia" w:ascii="仿宋_GB2312" w:hAnsi="仿宋" w:eastAsia="仿宋_GB2312"/>
          <w:sz w:val="32"/>
          <w:szCs w:val="32"/>
          <w:highlight w:val="none"/>
        </w:rPr>
        <w:t>项目</w:t>
      </w:r>
      <w:r>
        <w:rPr>
          <w:rFonts w:hint="eastAsia" w:ascii="仿宋_GB2312" w:hAnsi="仿宋" w:eastAsia="仿宋_GB2312"/>
          <w:sz w:val="32"/>
          <w:szCs w:val="32"/>
          <w:highlight w:val="none"/>
          <w:lang w:val="en-US" w:eastAsia="zh-CN"/>
        </w:rPr>
        <w:t>12基层应急管理体系能力建设资金、项目13乡镇武装经费、</w:t>
      </w:r>
      <w:r>
        <w:rPr>
          <w:rFonts w:hint="eastAsia" w:ascii="仿宋_GB2312" w:hAnsi="仿宋" w:eastAsia="仿宋_GB2312"/>
          <w:sz w:val="32"/>
          <w:szCs w:val="32"/>
          <w:highlight w:val="none"/>
        </w:rPr>
        <w:t>项目</w:t>
      </w:r>
      <w:r>
        <w:rPr>
          <w:rFonts w:hint="eastAsia" w:ascii="仿宋_GB2312" w:hAnsi="仿宋" w:eastAsia="仿宋_GB2312"/>
          <w:sz w:val="32"/>
          <w:szCs w:val="32"/>
          <w:highlight w:val="none"/>
          <w:lang w:val="en-US" w:eastAsia="zh-CN"/>
        </w:rPr>
        <w:t>14绿化带管护资金。</w:t>
      </w:r>
    </w:p>
    <w:p w14:paraId="2123D18C">
      <w:pPr>
        <w:adjustRightInd w:val="0"/>
        <w:snapToGrid w:val="0"/>
        <w:spacing w:line="640" w:lineRule="exact"/>
        <w:ind w:firstLine="643" w:firstLineChars="200"/>
        <w:contextualSpacing/>
        <w:rPr>
          <w:rFonts w:ascii="楷体_GB2312" w:hAnsi="楷体" w:eastAsia="楷体_GB2312" w:cs="宋体"/>
          <w:b/>
          <w:bCs/>
          <w:kern w:val="0"/>
          <w:sz w:val="32"/>
          <w:szCs w:val="32"/>
        </w:rPr>
      </w:pPr>
      <w:r>
        <w:rPr>
          <w:rFonts w:hint="eastAsia" w:ascii="楷体_GB2312" w:hAnsi="楷体" w:eastAsia="楷体_GB2312" w:cs="宋体"/>
          <w:b/>
          <w:bCs/>
          <w:kern w:val="0"/>
          <w:sz w:val="32"/>
          <w:szCs w:val="32"/>
        </w:rPr>
        <w:t>（三）支出功能分类说明</w:t>
      </w:r>
    </w:p>
    <w:p w14:paraId="50F1CAD8">
      <w:pPr>
        <w:widowControl/>
        <w:adjustRightInd w:val="0"/>
        <w:snapToGrid w:val="0"/>
        <w:spacing w:line="640" w:lineRule="exact"/>
        <w:ind w:firstLine="640" w:firstLineChars="200"/>
        <w:contextualSpacing/>
        <w:jc w:val="left"/>
        <w:rPr>
          <w:rFonts w:hint="eastAsia" w:ascii="仿宋_GB2312" w:eastAsia="仿宋_GB2312"/>
          <w:color w:val="000000"/>
          <w:sz w:val="32"/>
          <w:szCs w:val="32"/>
          <w:lang w:eastAsia="zh-CN"/>
        </w:rPr>
      </w:pPr>
      <w:r>
        <w:rPr>
          <w:rFonts w:hint="eastAsia" w:ascii="仿宋_GB2312" w:hAnsi="TimesNewRomanPS-BoldMT" w:eastAsia="仿宋_GB2312"/>
          <w:bCs/>
          <w:color w:val="000000"/>
          <w:sz w:val="32"/>
          <w:szCs w:val="32"/>
        </w:rPr>
        <w:t>1.</w:t>
      </w:r>
      <w:r>
        <w:rPr>
          <w:rFonts w:hint="eastAsia" w:ascii="仿宋_GB2312" w:eastAsia="仿宋_GB2312"/>
          <w:color w:val="000000"/>
          <w:sz w:val="32"/>
          <w:szCs w:val="32"/>
        </w:rPr>
        <w:t>一般公共服务（ 类） 纪检监察事务（ 款） 派驻派出机构（ 项）</w:t>
      </w:r>
      <w:r>
        <w:rPr>
          <w:rFonts w:hint="eastAsia" w:ascii="仿宋_GB2312" w:hAnsi="TimesNewRomanPSMT" w:eastAsia="仿宋_GB2312"/>
          <w:color w:val="000000"/>
          <w:sz w:val="32"/>
          <w:szCs w:val="32"/>
        </w:rPr>
        <w:t>202</w:t>
      </w:r>
      <w:r>
        <w:rPr>
          <w:rFonts w:hint="eastAsia" w:ascii="仿宋_GB2312" w:hAnsi="TimesNewRomanPSMT" w:eastAsia="仿宋_GB2312"/>
          <w:color w:val="000000"/>
          <w:sz w:val="32"/>
          <w:szCs w:val="32"/>
          <w:lang w:val="en-US" w:eastAsia="zh-CN"/>
        </w:rPr>
        <w:t>5</w:t>
      </w:r>
      <w:r>
        <w:rPr>
          <w:rFonts w:hint="eastAsia" w:ascii="仿宋_GB2312" w:eastAsia="仿宋_GB2312"/>
          <w:color w:val="000000"/>
          <w:sz w:val="32"/>
          <w:szCs w:val="32"/>
        </w:rPr>
        <w:t>年预算数为</w:t>
      </w:r>
      <w:r>
        <w:rPr>
          <w:rFonts w:hint="eastAsia" w:ascii="仿宋_GB2312" w:hAnsi="TimesNewRomanPSMT" w:eastAsia="仿宋_GB2312"/>
          <w:color w:val="000000"/>
          <w:sz w:val="32"/>
          <w:szCs w:val="32"/>
          <w:lang w:val="en-US" w:eastAsia="zh-CN"/>
        </w:rPr>
        <w:t>0</w:t>
      </w:r>
      <w:r>
        <w:rPr>
          <w:rFonts w:hint="eastAsia" w:ascii="仿宋_GB2312" w:eastAsia="仿宋_GB2312"/>
          <w:color w:val="000000"/>
          <w:sz w:val="32"/>
          <w:szCs w:val="32"/>
        </w:rPr>
        <w:t>万元</w:t>
      </w:r>
      <w:r>
        <w:rPr>
          <w:rFonts w:hint="eastAsia" w:ascii="仿宋_GB2312" w:eastAsia="仿宋_GB2312"/>
          <w:color w:val="000000"/>
          <w:sz w:val="32"/>
          <w:szCs w:val="32"/>
          <w:lang w:eastAsia="zh-CN"/>
        </w:rPr>
        <w:t>，</w:t>
      </w:r>
      <w:r>
        <w:rPr>
          <w:rFonts w:hint="eastAsia" w:ascii="仿宋_GB2312" w:eastAsia="仿宋_GB2312"/>
          <w:color w:val="000000"/>
          <w:sz w:val="32"/>
          <w:szCs w:val="32"/>
        </w:rPr>
        <w:t>比</w:t>
      </w:r>
      <w:r>
        <w:rPr>
          <w:rFonts w:hint="eastAsia" w:ascii="仿宋_GB2312" w:hAnsi="TimesNewRomanPSMT" w:eastAsia="仿宋_GB2312"/>
          <w:color w:val="000000"/>
          <w:sz w:val="32"/>
          <w:szCs w:val="32"/>
        </w:rPr>
        <w:t>202</w:t>
      </w:r>
      <w:r>
        <w:rPr>
          <w:rFonts w:hint="eastAsia" w:ascii="仿宋_GB2312" w:hAnsi="TimesNewRomanPSMT" w:eastAsia="仿宋_GB2312"/>
          <w:color w:val="000000"/>
          <w:sz w:val="32"/>
          <w:szCs w:val="32"/>
          <w:lang w:val="en-US" w:eastAsia="zh-CN"/>
        </w:rPr>
        <w:t>4</w:t>
      </w:r>
      <w:r>
        <w:rPr>
          <w:rFonts w:hint="eastAsia" w:ascii="仿宋_GB2312" w:eastAsia="仿宋_GB2312"/>
          <w:color w:val="000000"/>
          <w:sz w:val="32"/>
          <w:szCs w:val="32"/>
        </w:rPr>
        <w:t>年预算增加</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r>
        <w:rPr>
          <w:rFonts w:hint="eastAsia" w:ascii="仿宋_GB2312" w:eastAsia="仿宋_GB2312"/>
          <w:color w:val="000000"/>
          <w:sz w:val="32"/>
          <w:szCs w:val="32"/>
          <w:lang w:eastAsia="zh-CN"/>
        </w:rPr>
        <w:t>。</w:t>
      </w:r>
    </w:p>
    <w:p w14:paraId="7E507F66">
      <w:pPr>
        <w:adjustRightInd w:val="0"/>
        <w:snapToGrid w:val="0"/>
        <w:spacing w:line="640" w:lineRule="exact"/>
        <w:ind w:firstLine="640" w:firstLineChars="200"/>
        <w:contextualSpacing/>
        <w:rPr>
          <w:rFonts w:ascii="黑体" w:hAnsi="黑体" w:eastAsia="黑体" w:cs="宋体"/>
          <w:kern w:val="0"/>
          <w:sz w:val="32"/>
          <w:szCs w:val="32"/>
        </w:rPr>
      </w:pPr>
      <w:r>
        <w:rPr>
          <w:rFonts w:hint="eastAsia" w:ascii="黑体" w:hAnsi="黑体" w:eastAsia="黑体" w:cs="宋体"/>
          <w:kern w:val="0"/>
          <w:sz w:val="32"/>
          <w:szCs w:val="32"/>
        </w:rPr>
        <w:t>五、部门（单位）一般公共预算财政拨款“三公”经费、培训费、会议费等情况</w:t>
      </w:r>
    </w:p>
    <w:p w14:paraId="17304242">
      <w:pPr>
        <w:adjustRightInd w:val="0"/>
        <w:snapToGrid w:val="0"/>
        <w:spacing w:line="640" w:lineRule="exact"/>
        <w:ind w:firstLine="643" w:firstLineChars="200"/>
        <w:contextualSpacing/>
        <w:rPr>
          <w:rFonts w:ascii="楷体_GB2312" w:hAnsi="楷体" w:eastAsia="楷体_GB2312" w:cs="宋体"/>
          <w:b/>
          <w:bCs/>
          <w:kern w:val="0"/>
          <w:sz w:val="32"/>
          <w:szCs w:val="32"/>
        </w:rPr>
      </w:pPr>
      <w:r>
        <w:rPr>
          <w:rFonts w:hint="eastAsia" w:ascii="楷体_GB2312" w:hAnsi="楷体" w:eastAsia="楷体_GB2312" w:cs="宋体"/>
          <w:b/>
          <w:bCs/>
          <w:kern w:val="0"/>
          <w:sz w:val="32"/>
          <w:szCs w:val="32"/>
        </w:rPr>
        <w:t>（一）“三公”经费情况说明</w:t>
      </w:r>
    </w:p>
    <w:p w14:paraId="2CB3E16D">
      <w:pPr>
        <w:adjustRightInd w:val="0"/>
        <w:snapToGrid w:val="0"/>
        <w:spacing w:line="640" w:lineRule="exact"/>
        <w:ind w:firstLine="640" w:firstLineChars="200"/>
        <w:contextualSpacing/>
        <w:rPr>
          <w:rFonts w:ascii="仿宋_GB2312" w:hAnsi="仿宋" w:eastAsia="仿宋_GB2312" w:cs="宋体"/>
          <w:b/>
          <w:kern w:val="0"/>
          <w:sz w:val="32"/>
          <w:szCs w:val="32"/>
        </w:rPr>
      </w:pPr>
      <w:r>
        <w:rPr>
          <w:rFonts w:hint="eastAsia" w:ascii="仿宋_GB2312" w:hAnsi="仿宋" w:eastAsia="仿宋_GB2312"/>
          <w:sz w:val="32"/>
          <w:szCs w:val="32"/>
        </w:rPr>
        <w:t>“三公”经费预算</w:t>
      </w:r>
      <w:r>
        <w:rPr>
          <w:rFonts w:hint="eastAsia" w:ascii="仿宋_GB2312" w:hAnsi="仿宋" w:eastAsia="仿宋_GB2312"/>
          <w:sz w:val="32"/>
          <w:szCs w:val="32"/>
          <w:lang w:val="en-US" w:eastAsia="zh-CN"/>
        </w:rPr>
        <w:t>6</w:t>
      </w:r>
      <w:r>
        <w:rPr>
          <w:rFonts w:hint="eastAsia" w:ascii="仿宋_GB2312" w:hAnsi="仿宋" w:eastAsia="仿宋_GB2312"/>
          <w:sz w:val="32"/>
          <w:szCs w:val="32"/>
        </w:rPr>
        <w:t>万元，</w:t>
      </w:r>
      <w:r>
        <w:rPr>
          <w:rFonts w:hint="eastAsia" w:ascii="仿宋_GB2312" w:hAnsi="仿宋" w:eastAsia="仿宋_GB2312"/>
          <w:sz w:val="32"/>
          <w:szCs w:val="32"/>
          <w:lang w:eastAsia="zh-CN"/>
        </w:rPr>
        <w:t>与</w:t>
      </w:r>
      <w:r>
        <w:rPr>
          <w:rFonts w:hint="eastAsia" w:ascii="仿宋_GB2312" w:hAnsi="仿宋" w:eastAsia="仿宋_GB2312"/>
          <w:sz w:val="32"/>
          <w:szCs w:val="32"/>
        </w:rPr>
        <w:t>202</w:t>
      </w:r>
      <w:r>
        <w:rPr>
          <w:rFonts w:hint="eastAsia" w:ascii="仿宋_GB2312" w:hAnsi="仿宋" w:eastAsia="仿宋_GB2312"/>
          <w:sz w:val="32"/>
          <w:szCs w:val="32"/>
          <w:lang w:val="en-US" w:eastAsia="zh-CN"/>
        </w:rPr>
        <w:t>4</w:t>
      </w:r>
      <w:r>
        <w:rPr>
          <w:rFonts w:hint="eastAsia" w:ascii="仿宋_GB2312" w:hAnsi="仿宋" w:eastAsia="仿宋_GB2312"/>
          <w:sz w:val="32"/>
          <w:szCs w:val="32"/>
        </w:rPr>
        <w:t>年</w:t>
      </w:r>
      <w:r>
        <w:rPr>
          <w:rFonts w:hint="eastAsia" w:ascii="仿宋_GB2312" w:hAnsi="仿宋" w:eastAsia="仿宋_GB2312"/>
          <w:sz w:val="32"/>
          <w:szCs w:val="32"/>
          <w:lang w:eastAsia="zh-CN"/>
        </w:rPr>
        <w:t>预算持平</w:t>
      </w:r>
      <w:r>
        <w:rPr>
          <w:rFonts w:hint="eastAsia" w:ascii="仿宋_GB2312" w:hAnsi="仿宋" w:eastAsia="仿宋_GB2312"/>
          <w:sz w:val="32"/>
          <w:szCs w:val="32"/>
        </w:rPr>
        <w:t>。</w:t>
      </w:r>
    </w:p>
    <w:p w14:paraId="4E55613A">
      <w:pPr>
        <w:spacing w:line="560" w:lineRule="exact"/>
        <w:ind w:firstLine="800" w:firstLineChars="250"/>
        <w:rPr>
          <w:rFonts w:ascii="仿宋_GB2312" w:hAnsi="仿宋" w:eastAsia="仿宋_GB2312"/>
          <w:color w:val="auto"/>
          <w:sz w:val="32"/>
          <w:szCs w:val="32"/>
        </w:rPr>
      </w:pPr>
      <w:r>
        <w:rPr>
          <w:rFonts w:hint="eastAsia" w:ascii="仿宋_GB2312" w:hAnsi="仿宋" w:eastAsia="仿宋_GB2312"/>
          <w:sz w:val="32"/>
          <w:szCs w:val="32"/>
        </w:rPr>
        <w:t>1.因公出国（境）费用</w:t>
      </w:r>
      <w:r>
        <w:rPr>
          <w:rFonts w:hint="eastAsia" w:ascii="仿宋_GB2312" w:hAnsi="仿宋" w:eastAsia="仿宋_GB2312"/>
          <w:sz w:val="32"/>
          <w:szCs w:val="32"/>
          <w:lang w:val="en-US" w:eastAsia="zh-CN"/>
        </w:rPr>
        <w:t>0</w:t>
      </w:r>
      <w:r>
        <w:rPr>
          <w:rFonts w:hint="eastAsia" w:ascii="仿宋_GB2312" w:hAnsi="仿宋" w:eastAsia="仿宋_GB2312"/>
          <w:sz w:val="32"/>
          <w:szCs w:val="32"/>
        </w:rPr>
        <w:t>万元，较202</w:t>
      </w:r>
      <w:r>
        <w:rPr>
          <w:rFonts w:hint="eastAsia" w:ascii="仿宋_GB2312" w:hAnsi="仿宋" w:eastAsia="仿宋_GB2312"/>
          <w:sz w:val="32"/>
          <w:szCs w:val="32"/>
          <w:lang w:val="en-US" w:eastAsia="zh-CN"/>
        </w:rPr>
        <w:t>4</w:t>
      </w:r>
      <w:r>
        <w:rPr>
          <w:rFonts w:hint="eastAsia" w:ascii="仿宋_GB2312" w:hAnsi="仿宋" w:eastAsia="仿宋_GB2312"/>
          <w:sz w:val="32"/>
          <w:szCs w:val="32"/>
        </w:rPr>
        <w:t>年预算增加</w:t>
      </w:r>
      <w:r>
        <w:rPr>
          <w:rFonts w:hint="eastAsia" w:ascii="仿宋_GB2312" w:hAnsi="仿宋" w:eastAsia="仿宋_GB2312"/>
          <w:sz w:val="32"/>
          <w:szCs w:val="32"/>
          <w:lang w:val="en-US" w:eastAsia="zh-CN"/>
        </w:rPr>
        <w:t>0</w:t>
      </w:r>
      <w:r>
        <w:rPr>
          <w:rFonts w:hint="eastAsia" w:ascii="仿宋_GB2312" w:hAnsi="仿宋" w:eastAsia="仿宋_GB2312"/>
          <w:sz w:val="32"/>
          <w:szCs w:val="32"/>
        </w:rPr>
        <w:t>万元，增长</w:t>
      </w:r>
      <w:r>
        <w:rPr>
          <w:rFonts w:hint="eastAsia" w:ascii="仿宋_GB2312" w:hAnsi="仿宋" w:eastAsia="仿宋_GB2312"/>
          <w:sz w:val="32"/>
          <w:szCs w:val="32"/>
          <w:lang w:val="en-US" w:eastAsia="zh-CN"/>
        </w:rPr>
        <w:t>0</w:t>
      </w:r>
      <w:r>
        <w:rPr>
          <w:rFonts w:hint="eastAsia" w:ascii="仿宋_GB2312" w:hAnsi="仿宋" w:eastAsia="仿宋_GB2312"/>
          <w:sz w:val="32"/>
          <w:szCs w:val="32"/>
        </w:rPr>
        <w:t>%，</w:t>
      </w:r>
      <w:r>
        <w:rPr>
          <w:rFonts w:hint="eastAsia" w:ascii="仿宋_GB2312" w:hAnsi="仿宋_GB2312" w:eastAsia="仿宋_GB2312" w:cs="仿宋_GB2312"/>
          <w:sz w:val="32"/>
          <w:szCs w:val="32"/>
        </w:rPr>
        <w:t>主要</w:t>
      </w:r>
      <w:r>
        <w:rPr>
          <w:rFonts w:hint="eastAsia" w:ascii="仿宋_GB2312" w:hAnsi="仿宋_GB2312" w:eastAsia="仿宋_GB2312" w:cs="仿宋_GB2312"/>
          <w:color w:val="auto"/>
          <w:sz w:val="32"/>
          <w:szCs w:val="32"/>
        </w:rPr>
        <w:t>原因是</w:t>
      </w:r>
      <w:r>
        <w:rPr>
          <w:rFonts w:hint="eastAsia" w:ascii="仿宋_GB2312" w:hAnsi="微软雅黑" w:eastAsia="仿宋_GB2312" w:cs="Times New Roman"/>
          <w:color w:val="auto"/>
          <w:kern w:val="0"/>
          <w:sz w:val="32"/>
          <w:szCs w:val="32"/>
          <w:shd w:val="clear" w:color="auto" w:fill="FFFFFF"/>
        </w:rPr>
        <w:t>202</w:t>
      </w:r>
      <w:r>
        <w:rPr>
          <w:rFonts w:hint="eastAsia" w:ascii="仿宋_GB2312" w:hAnsi="微软雅黑" w:eastAsia="仿宋_GB2312" w:cs="Times New Roman"/>
          <w:color w:val="auto"/>
          <w:kern w:val="0"/>
          <w:sz w:val="32"/>
          <w:szCs w:val="32"/>
          <w:shd w:val="clear" w:color="auto" w:fill="FFFFFF"/>
          <w:lang w:val="en-US" w:eastAsia="zh-CN"/>
        </w:rPr>
        <w:t>5</w:t>
      </w:r>
      <w:r>
        <w:rPr>
          <w:rFonts w:hint="eastAsia" w:ascii="仿宋_GB2312" w:hAnsi="微软雅黑" w:eastAsia="仿宋_GB2312" w:cs="Times New Roman"/>
          <w:color w:val="auto"/>
          <w:kern w:val="0"/>
          <w:sz w:val="32"/>
          <w:szCs w:val="32"/>
          <w:shd w:val="clear" w:color="auto" w:fill="FFFFFF"/>
        </w:rPr>
        <w:t>年因没有出国</w:t>
      </w:r>
      <w:r>
        <w:rPr>
          <w:rFonts w:hint="eastAsia" w:ascii="仿宋_GB2312" w:hAnsi="微软雅黑" w:eastAsia="仿宋_GB2312" w:cs="Times New Roman"/>
          <w:color w:val="auto"/>
          <w:kern w:val="0"/>
          <w:sz w:val="32"/>
          <w:szCs w:val="32"/>
          <w:shd w:val="clear" w:color="auto" w:fill="FFFFFF"/>
          <w:lang w:eastAsia="zh-CN"/>
        </w:rPr>
        <w:t>（</w:t>
      </w:r>
      <w:r>
        <w:rPr>
          <w:rFonts w:hint="eastAsia" w:ascii="仿宋_GB2312" w:hAnsi="微软雅黑" w:eastAsia="仿宋_GB2312" w:cs="Times New Roman"/>
          <w:color w:val="auto"/>
          <w:kern w:val="0"/>
          <w:sz w:val="32"/>
          <w:szCs w:val="32"/>
          <w:shd w:val="clear" w:color="auto" w:fill="FFFFFF"/>
        </w:rPr>
        <w:t>境</w:t>
      </w:r>
      <w:r>
        <w:rPr>
          <w:rFonts w:hint="eastAsia" w:ascii="仿宋_GB2312" w:hAnsi="微软雅黑" w:eastAsia="仿宋_GB2312" w:cs="Times New Roman"/>
          <w:color w:val="auto"/>
          <w:kern w:val="0"/>
          <w:sz w:val="32"/>
          <w:szCs w:val="32"/>
          <w:shd w:val="clear" w:color="auto" w:fill="FFFFFF"/>
          <w:lang w:eastAsia="zh-CN"/>
        </w:rPr>
        <w:t>）</w:t>
      </w:r>
      <w:r>
        <w:rPr>
          <w:rFonts w:hint="eastAsia" w:ascii="仿宋_GB2312" w:hAnsi="微软雅黑" w:eastAsia="仿宋_GB2312" w:cs="Times New Roman"/>
          <w:color w:val="auto"/>
          <w:kern w:val="0"/>
          <w:sz w:val="32"/>
          <w:szCs w:val="32"/>
          <w:shd w:val="clear" w:color="auto" w:fill="FFFFFF"/>
        </w:rPr>
        <w:t>培训、考察的计划和任务。</w:t>
      </w:r>
    </w:p>
    <w:p w14:paraId="5D6C8AB7">
      <w:pPr>
        <w:widowControl/>
        <w:adjustRightInd w:val="0"/>
        <w:snapToGrid w:val="0"/>
        <w:spacing w:line="640" w:lineRule="exact"/>
        <w:ind w:firstLine="640" w:firstLineChars="200"/>
        <w:contextualSpacing/>
        <w:jc w:val="left"/>
        <w:rPr>
          <w:rFonts w:hint="eastAsia" w:ascii="仿宋_GB2312" w:hAnsi="仿宋" w:eastAsia="仿宋_GB2312"/>
          <w:sz w:val="32"/>
          <w:szCs w:val="32"/>
          <w:lang w:eastAsia="zh-CN"/>
        </w:rPr>
      </w:pPr>
      <w:r>
        <w:rPr>
          <w:rFonts w:hint="eastAsia" w:ascii="仿宋_GB2312" w:hAnsi="仿宋" w:eastAsia="仿宋_GB2312"/>
          <w:sz w:val="32"/>
          <w:szCs w:val="32"/>
        </w:rPr>
        <w:t>2.公务接待费</w:t>
      </w:r>
      <w:r>
        <w:rPr>
          <w:rFonts w:hint="eastAsia" w:ascii="仿宋_GB2312" w:hAnsi="仿宋" w:eastAsia="仿宋_GB2312"/>
          <w:sz w:val="32"/>
          <w:szCs w:val="32"/>
          <w:lang w:val="en-US" w:eastAsia="zh-CN"/>
        </w:rPr>
        <w:t>6</w:t>
      </w:r>
      <w:r>
        <w:rPr>
          <w:rFonts w:hint="eastAsia" w:ascii="仿宋_GB2312" w:hAnsi="仿宋" w:eastAsia="仿宋_GB2312"/>
          <w:sz w:val="32"/>
          <w:szCs w:val="32"/>
        </w:rPr>
        <w:t>万元，</w:t>
      </w:r>
      <w:r>
        <w:rPr>
          <w:rFonts w:hint="eastAsia" w:ascii="仿宋_GB2312" w:hAnsi="仿宋" w:eastAsia="仿宋_GB2312"/>
          <w:sz w:val="32"/>
          <w:szCs w:val="32"/>
          <w:lang w:eastAsia="zh-CN"/>
        </w:rPr>
        <w:t>与</w:t>
      </w:r>
      <w:r>
        <w:rPr>
          <w:rFonts w:hint="eastAsia" w:ascii="仿宋_GB2312" w:hAnsi="仿宋" w:eastAsia="仿宋_GB2312"/>
          <w:sz w:val="32"/>
          <w:szCs w:val="32"/>
        </w:rPr>
        <w:t>202</w:t>
      </w:r>
      <w:r>
        <w:rPr>
          <w:rFonts w:hint="eastAsia" w:ascii="仿宋_GB2312" w:hAnsi="仿宋" w:eastAsia="仿宋_GB2312"/>
          <w:sz w:val="32"/>
          <w:szCs w:val="32"/>
          <w:lang w:val="en-US" w:eastAsia="zh-CN"/>
        </w:rPr>
        <w:t>4</w:t>
      </w:r>
      <w:r>
        <w:rPr>
          <w:rFonts w:hint="eastAsia" w:ascii="仿宋_GB2312" w:hAnsi="仿宋" w:eastAsia="仿宋_GB2312"/>
          <w:sz w:val="32"/>
          <w:szCs w:val="32"/>
        </w:rPr>
        <w:t>年</w:t>
      </w:r>
      <w:r>
        <w:rPr>
          <w:rFonts w:hint="eastAsia" w:ascii="仿宋_GB2312" w:hAnsi="仿宋" w:eastAsia="仿宋_GB2312"/>
          <w:sz w:val="32"/>
          <w:szCs w:val="32"/>
          <w:lang w:eastAsia="zh-CN"/>
        </w:rPr>
        <w:t>预算持平。</w:t>
      </w:r>
    </w:p>
    <w:p w14:paraId="7BA33348">
      <w:pPr>
        <w:widowControl/>
        <w:adjustRightInd w:val="0"/>
        <w:snapToGrid w:val="0"/>
        <w:spacing w:line="640" w:lineRule="exact"/>
        <w:ind w:firstLine="640" w:firstLineChars="200"/>
        <w:contextualSpacing/>
        <w:jc w:val="left"/>
        <w:rPr>
          <w:rFonts w:ascii="仿宋_GB2312" w:hAnsi="仿宋" w:eastAsia="仿宋_GB2312"/>
          <w:sz w:val="32"/>
          <w:szCs w:val="32"/>
        </w:rPr>
      </w:pPr>
      <w:r>
        <w:rPr>
          <w:rFonts w:hint="eastAsia" w:ascii="仿宋_GB2312" w:hAnsi="仿宋" w:eastAsia="仿宋_GB2312"/>
          <w:sz w:val="32"/>
          <w:szCs w:val="32"/>
        </w:rPr>
        <w:t>3.公务用车购置及运行维护费</w:t>
      </w:r>
      <w:r>
        <w:rPr>
          <w:rFonts w:hint="eastAsia" w:ascii="仿宋_GB2312" w:hAnsi="仿宋" w:eastAsia="仿宋_GB2312"/>
          <w:sz w:val="32"/>
          <w:szCs w:val="32"/>
          <w:lang w:val="en-US" w:eastAsia="zh-CN"/>
        </w:rPr>
        <w:t>0</w:t>
      </w:r>
      <w:r>
        <w:rPr>
          <w:rFonts w:hint="eastAsia" w:ascii="仿宋_GB2312" w:hAnsi="仿宋" w:eastAsia="仿宋_GB2312"/>
          <w:sz w:val="32"/>
          <w:szCs w:val="32"/>
        </w:rPr>
        <w:t>万元</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因公务</w:t>
      </w:r>
      <w:r>
        <w:rPr>
          <w:rFonts w:hint="eastAsia" w:ascii="仿宋_GB2312" w:hAnsi="仿宋_GB2312" w:eastAsia="仿宋_GB2312" w:cs="仿宋_GB2312"/>
          <w:sz w:val="32"/>
          <w:szCs w:val="32"/>
        </w:rPr>
        <w:t>用车</w:t>
      </w:r>
      <w:r>
        <w:rPr>
          <w:rFonts w:ascii="仿宋_GB2312" w:hAnsi="仿宋_GB2312" w:eastAsia="仿宋_GB2312" w:cs="仿宋_GB2312"/>
          <w:sz w:val="32"/>
          <w:szCs w:val="32"/>
        </w:rPr>
        <w:t>改革实施</w:t>
      </w:r>
      <w:r>
        <w:rPr>
          <w:rFonts w:hint="eastAsia" w:ascii="仿宋_GB2312" w:hAnsi="仿宋_GB2312" w:eastAsia="仿宋_GB2312" w:cs="仿宋_GB2312"/>
          <w:sz w:val="32"/>
          <w:szCs w:val="32"/>
        </w:rPr>
        <w:t>，我镇为行</w:t>
      </w:r>
      <w:r>
        <w:rPr>
          <w:rFonts w:ascii="仿宋_GB2312" w:hAnsi="仿宋_GB2312" w:eastAsia="仿宋_GB2312" w:cs="仿宋_GB2312"/>
          <w:sz w:val="32"/>
          <w:szCs w:val="32"/>
        </w:rPr>
        <w:t>政单位，</w:t>
      </w:r>
      <w:r>
        <w:rPr>
          <w:rFonts w:hint="eastAsia" w:ascii="仿宋_GB2312" w:hAnsi="仿宋_GB2312" w:eastAsia="仿宋_GB2312" w:cs="仿宋_GB2312"/>
          <w:sz w:val="32"/>
          <w:szCs w:val="32"/>
        </w:rPr>
        <w:t>所</w:t>
      </w:r>
      <w:r>
        <w:rPr>
          <w:rFonts w:ascii="仿宋_GB2312" w:hAnsi="仿宋_GB2312" w:eastAsia="仿宋_GB2312" w:cs="仿宋_GB2312"/>
          <w:sz w:val="32"/>
          <w:szCs w:val="32"/>
        </w:rPr>
        <w:t>以</w:t>
      </w:r>
      <w:r>
        <w:rPr>
          <w:rFonts w:hint="eastAsia" w:ascii="仿宋_GB2312" w:hAnsi="仿宋_GB2312" w:eastAsia="仿宋_GB2312" w:cs="仿宋_GB2312"/>
          <w:sz w:val="32"/>
          <w:szCs w:val="32"/>
        </w:rPr>
        <w:t>从201</w:t>
      </w:r>
      <w:r>
        <w:rPr>
          <w:rFonts w:ascii="仿宋_GB2312" w:hAnsi="仿宋_GB2312" w:eastAsia="仿宋_GB2312" w:cs="仿宋_GB2312"/>
          <w:sz w:val="32"/>
          <w:szCs w:val="32"/>
        </w:rPr>
        <w:t>7</w:t>
      </w:r>
      <w:r>
        <w:rPr>
          <w:rFonts w:hint="eastAsia" w:ascii="仿宋_GB2312" w:hAnsi="仿宋_GB2312" w:eastAsia="仿宋_GB2312" w:cs="仿宋_GB2312"/>
          <w:sz w:val="32"/>
          <w:szCs w:val="32"/>
        </w:rPr>
        <w:t>年</w:t>
      </w:r>
      <w:r>
        <w:rPr>
          <w:rFonts w:ascii="仿宋_GB2312" w:hAnsi="仿宋_GB2312" w:eastAsia="仿宋_GB2312" w:cs="仿宋_GB2312"/>
          <w:sz w:val="32"/>
          <w:szCs w:val="32"/>
        </w:rPr>
        <w:t>至今</w:t>
      </w:r>
      <w:r>
        <w:rPr>
          <w:rFonts w:hint="eastAsia" w:ascii="仿宋_GB2312" w:hAnsi="仿宋_GB2312" w:eastAsia="仿宋_GB2312" w:cs="仿宋_GB2312"/>
          <w:sz w:val="32"/>
          <w:szCs w:val="32"/>
        </w:rPr>
        <w:t>没</w:t>
      </w:r>
      <w:r>
        <w:rPr>
          <w:rFonts w:ascii="仿宋_GB2312" w:hAnsi="仿宋_GB2312" w:eastAsia="仿宋_GB2312" w:cs="仿宋_GB2312"/>
          <w:sz w:val="32"/>
          <w:szCs w:val="32"/>
        </w:rPr>
        <w:t>有公务用</w:t>
      </w:r>
      <w:r>
        <w:rPr>
          <w:rFonts w:hint="eastAsia" w:ascii="仿宋_GB2312" w:hAnsi="仿宋_GB2312" w:eastAsia="仿宋_GB2312" w:cs="仿宋_GB2312"/>
          <w:sz w:val="32"/>
          <w:szCs w:val="32"/>
        </w:rPr>
        <w:t>车</w:t>
      </w:r>
      <w:r>
        <w:rPr>
          <w:rFonts w:hint="eastAsia" w:ascii="仿宋_GB2312" w:hAnsi="仿宋_GB2312" w:eastAsia="仿宋_GB2312" w:cs="仿宋_GB2312"/>
          <w:sz w:val="32"/>
          <w:szCs w:val="32"/>
          <w:lang w:eastAsia="zh-CN"/>
        </w:rPr>
        <w:t>购置及运行</w:t>
      </w:r>
      <w:r>
        <w:rPr>
          <w:rFonts w:ascii="仿宋_GB2312" w:hAnsi="仿宋_GB2312" w:eastAsia="仿宋_GB2312" w:cs="仿宋_GB2312"/>
          <w:sz w:val="32"/>
          <w:szCs w:val="32"/>
        </w:rPr>
        <w:t>费</w:t>
      </w:r>
      <w:r>
        <w:rPr>
          <w:rFonts w:hint="eastAsia" w:ascii="仿宋_GB2312" w:hAnsi="仿宋_GB2312" w:eastAsia="仿宋_GB2312" w:cs="仿宋_GB2312"/>
          <w:sz w:val="32"/>
          <w:szCs w:val="32"/>
        </w:rPr>
        <w:t>预算。</w:t>
      </w:r>
    </w:p>
    <w:p w14:paraId="786BC6FC">
      <w:pPr>
        <w:adjustRightInd w:val="0"/>
        <w:snapToGrid w:val="0"/>
        <w:spacing w:line="640" w:lineRule="exact"/>
        <w:ind w:firstLine="643" w:firstLineChars="200"/>
        <w:contextualSpacing/>
        <w:rPr>
          <w:rFonts w:ascii="楷体_GB2312" w:hAnsi="楷体" w:eastAsia="楷体_GB2312" w:cs="宋体"/>
          <w:b/>
          <w:bCs/>
          <w:kern w:val="0"/>
          <w:sz w:val="32"/>
          <w:szCs w:val="32"/>
        </w:rPr>
      </w:pPr>
      <w:r>
        <w:rPr>
          <w:rFonts w:hint="eastAsia" w:ascii="楷体_GB2312" w:hAnsi="楷体" w:eastAsia="楷体_GB2312" w:cs="宋体"/>
          <w:b/>
          <w:bCs/>
          <w:kern w:val="0"/>
          <w:sz w:val="32"/>
          <w:szCs w:val="32"/>
        </w:rPr>
        <w:t>（二）培训费预算情况说明</w:t>
      </w:r>
    </w:p>
    <w:p w14:paraId="56C33BDB">
      <w:pPr>
        <w:widowControl/>
        <w:adjustRightInd w:val="0"/>
        <w:snapToGrid w:val="0"/>
        <w:spacing w:line="640" w:lineRule="exact"/>
        <w:ind w:firstLine="640" w:firstLineChars="200"/>
        <w:contextualSpacing/>
        <w:jc w:val="left"/>
        <w:rPr>
          <w:rFonts w:ascii="仿宋_GB2312" w:hAnsi="仿宋" w:eastAsia="仿宋_GB2312"/>
          <w:sz w:val="32"/>
          <w:szCs w:val="32"/>
        </w:rPr>
      </w:pPr>
      <w:r>
        <w:rPr>
          <w:rFonts w:hint="eastAsia" w:ascii="仿宋_GB2312" w:hAnsi="仿宋" w:eastAsia="仿宋_GB2312"/>
          <w:sz w:val="32"/>
          <w:szCs w:val="32"/>
        </w:rPr>
        <w:t>4.培训费</w:t>
      </w:r>
      <w:r>
        <w:rPr>
          <w:rFonts w:hint="eastAsia" w:ascii="仿宋_GB2312" w:hAnsi="仿宋" w:eastAsia="仿宋_GB2312"/>
          <w:sz w:val="32"/>
          <w:szCs w:val="32"/>
          <w:lang w:val="en-US" w:eastAsia="zh-CN"/>
        </w:rPr>
        <w:t>4</w:t>
      </w:r>
      <w:r>
        <w:rPr>
          <w:rFonts w:hint="eastAsia" w:ascii="仿宋_GB2312" w:hAnsi="仿宋" w:eastAsia="仿宋_GB2312"/>
          <w:sz w:val="32"/>
          <w:szCs w:val="32"/>
        </w:rPr>
        <w:t>万元，</w:t>
      </w:r>
      <w:r>
        <w:rPr>
          <w:rFonts w:hint="eastAsia" w:ascii="仿宋_GB2312" w:hAnsi="仿宋" w:eastAsia="仿宋_GB2312"/>
          <w:sz w:val="32"/>
          <w:szCs w:val="32"/>
          <w:lang w:eastAsia="zh-CN"/>
        </w:rPr>
        <w:t>与</w:t>
      </w:r>
      <w:r>
        <w:rPr>
          <w:rFonts w:hint="eastAsia" w:ascii="仿宋_GB2312" w:hAnsi="仿宋" w:eastAsia="仿宋_GB2312"/>
          <w:sz w:val="32"/>
          <w:szCs w:val="32"/>
        </w:rPr>
        <w:t>202</w:t>
      </w:r>
      <w:r>
        <w:rPr>
          <w:rFonts w:hint="eastAsia" w:ascii="仿宋_GB2312" w:hAnsi="仿宋" w:eastAsia="仿宋_GB2312"/>
          <w:sz w:val="32"/>
          <w:szCs w:val="32"/>
          <w:lang w:val="en-US" w:eastAsia="zh-CN"/>
        </w:rPr>
        <w:t>4</w:t>
      </w:r>
      <w:r>
        <w:rPr>
          <w:rFonts w:hint="eastAsia" w:ascii="仿宋_GB2312" w:hAnsi="仿宋" w:eastAsia="仿宋_GB2312"/>
          <w:sz w:val="32"/>
          <w:szCs w:val="32"/>
        </w:rPr>
        <w:t>年</w:t>
      </w:r>
      <w:r>
        <w:rPr>
          <w:rFonts w:hint="eastAsia" w:ascii="仿宋_GB2312" w:hAnsi="仿宋" w:eastAsia="仿宋_GB2312"/>
          <w:sz w:val="32"/>
          <w:szCs w:val="32"/>
          <w:lang w:eastAsia="zh-CN"/>
        </w:rPr>
        <w:t>预算持平。</w:t>
      </w:r>
    </w:p>
    <w:p w14:paraId="0558FE98">
      <w:pPr>
        <w:adjustRightInd w:val="0"/>
        <w:snapToGrid w:val="0"/>
        <w:spacing w:line="640" w:lineRule="exact"/>
        <w:ind w:firstLine="643" w:firstLineChars="200"/>
        <w:contextualSpacing/>
        <w:rPr>
          <w:rFonts w:ascii="楷体_GB2312" w:hAnsi="楷体" w:eastAsia="楷体_GB2312" w:cs="宋体"/>
          <w:b/>
          <w:bCs/>
          <w:kern w:val="0"/>
          <w:sz w:val="32"/>
          <w:szCs w:val="32"/>
        </w:rPr>
      </w:pPr>
      <w:r>
        <w:rPr>
          <w:rFonts w:hint="eastAsia" w:ascii="楷体_GB2312" w:hAnsi="楷体" w:eastAsia="楷体_GB2312" w:cs="宋体"/>
          <w:b/>
          <w:bCs/>
          <w:kern w:val="0"/>
          <w:sz w:val="32"/>
          <w:szCs w:val="32"/>
        </w:rPr>
        <w:t>（三）会议费预算情况说明</w:t>
      </w:r>
    </w:p>
    <w:p w14:paraId="704715F4">
      <w:pPr>
        <w:widowControl/>
        <w:adjustRightInd w:val="0"/>
        <w:snapToGrid w:val="0"/>
        <w:spacing w:line="640" w:lineRule="exact"/>
        <w:ind w:firstLine="640" w:firstLineChars="200"/>
        <w:contextualSpacing/>
        <w:jc w:val="left"/>
        <w:rPr>
          <w:rFonts w:ascii="仿宋_GB2312" w:hAnsi="仿宋" w:eastAsia="仿宋_GB2312"/>
          <w:sz w:val="32"/>
          <w:szCs w:val="32"/>
        </w:rPr>
      </w:pPr>
      <w:r>
        <w:rPr>
          <w:rFonts w:hint="eastAsia" w:ascii="仿宋_GB2312" w:hAnsi="仿宋" w:eastAsia="仿宋_GB2312"/>
          <w:sz w:val="32"/>
          <w:szCs w:val="32"/>
        </w:rPr>
        <w:t>5.会议费</w:t>
      </w:r>
      <w:r>
        <w:rPr>
          <w:rFonts w:hint="eastAsia" w:ascii="仿宋_GB2312" w:hAnsi="仿宋" w:eastAsia="仿宋_GB2312"/>
          <w:sz w:val="32"/>
          <w:szCs w:val="32"/>
          <w:lang w:val="en-US" w:eastAsia="zh-CN"/>
        </w:rPr>
        <w:t>4</w:t>
      </w:r>
      <w:r>
        <w:rPr>
          <w:rFonts w:hint="eastAsia" w:ascii="仿宋_GB2312" w:hAnsi="仿宋" w:eastAsia="仿宋_GB2312"/>
          <w:sz w:val="32"/>
          <w:szCs w:val="32"/>
        </w:rPr>
        <w:t>万元，</w:t>
      </w:r>
      <w:r>
        <w:rPr>
          <w:rFonts w:hint="eastAsia" w:ascii="仿宋_GB2312" w:hAnsi="仿宋" w:eastAsia="仿宋_GB2312"/>
          <w:sz w:val="32"/>
          <w:szCs w:val="32"/>
          <w:lang w:eastAsia="zh-CN"/>
        </w:rPr>
        <w:t>与</w:t>
      </w:r>
      <w:r>
        <w:rPr>
          <w:rFonts w:hint="eastAsia" w:ascii="仿宋_GB2312" w:hAnsi="仿宋" w:eastAsia="仿宋_GB2312"/>
          <w:sz w:val="32"/>
          <w:szCs w:val="32"/>
        </w:rPr>
        <w:t>202</w:t>
      </w:r>
      <w:r>
        <w:rPr>
          <w:rFonts w:hint="eastAsia" w:ascii="仿宋_GB2312" w:hAnsi="仿宋" w:eastAsia="仿宋_GB2312"/>
          <w:sz w:val="32"/>
          <w:szCs w:val="32"/>
          <w:lang w:val="en-US" w:eastAsia="zh-CN"/>
        </w:rPr>
        <w:t>4</w:t>
      </w:r>
      <w:r>
        <w:rPr>
          <w:rFonts w:hint="eastAsia" w:ascii="仿宋_GB2312" w:hAnsi="仿宋" w:eastAsia="仿宋_GB2312"/>
          <w:sz w:val="32"/>
          <w:szCs w:val="32"/>
        </w:rPr>
        <w:t>年</w:t>
      </w:r>
      <w:r>
        <w:rPr>
          <w:rFonts w:hint="eastAsia" w:ascii="仿宋_GB2312" w:hAnsi="仿宋" w:eastAsia="仿宋_GB2312"/>
          <w:sz w:val="32"/>
          <w:szCs w:val="32"/>
          <w:lang w:eastAsia="zh-CN"/>
        </w:rPr>
        <w:t>预算持平。</w:t>
      </w:r>
    </w:p>
    <w:p w14:paraId="18D1979D">
      <w:pPr>
        <w:widowControl/>
        <w:spacing w:line="640" w:lineRule="exact"/>
        <w:ind w:firstLine="640" w:firstLineChars="200"/>
        <w:jc w:val="left"/>
        <w:rPr>
          <w:rFonts w:ascii="仿宋_GB2312" w:eastAsia="仿宋_GB2312"/>
          <w:sz w:val="32"/>
          <w:szCs w:val="32"/>
        </w:rPr>
      </w:pPr>
    </w:p>
    <w:tbl>
      <w:tblPr>
        <w:tblStyle w:val="9"/>
        <w:tblW w:w="10004" w:type="dxa"/>
        <w:tblInd w:w="0" w:type="dxa"/>
        <w:tblLayout w:type="autofit"/>
        <w:tblCellMar>
          <w:top w:w="0" w:type="dxa"/>
          <w:left w:w="108" w:type="dxa"/>
          <w:bottom w:w="0" w:type="dxa"/>
          <w:right w:w="108" w:type="dxa"/>
        </w:tblCellMar>
      </w:tblPr>
      <w:tblGrid>
        <w:gridCol w:w="10004"/>
      </w:tblGrid>
      <w:tr w14:paraId="16E63F44">
        <w:tblPrEx>
          <w:tblCellMar>
            <w:top w:w="0" w:type="dxa"/>
            <w:left w:w="108" w:type="dxa"/>
            <w:bottom w:w="0" w:type="dxa"/>
            <w:right w:w="108" w:type="dxa"/>
          </w:tblCellMar>
        </w:tblPrEx>
        <w:trPr>
          <w:trHeight w:val="4719" w:hRule="atLeast"/>
        </w:trPr>
        <w:tc>
          <w:tcPr>
            <w:tcW w:w="10004" w:type="dxa"/>
            <w:shd w:val="clear" w:color="auto" w:fill="auto"/>
          </w:tcPr>
          <w:p w14:paraId="21C2FCF4">
            <w:pPr>
              <w:jc w:val="center"/>
              <w:rPr>
                <w:rFonts w:ascii="仿宋_GB2312" w:hAnsi="微软雅黑" w:eastAsia="仿宋_GB2312"/>
                <w:b/>
                <w:sz w:val="32"/>
                <w:szCs w:val="32"/>
              </w:rPr>
            </w:pPr>
            <w:r>
              <w:rPr>
                <w:rFonts w:hint="eastAsia" w:ascii="仿宋_GB2312" w:hAnsi="微软雅黑" w:eastAsia="仿宋_GB2312"/>
                <w:b/>
                <w:sz w:val="32"/>
                <w:szCs w:val="32"/>
              </w:rPr>
              <w:drawing>
                <wp:inline distT="0" distB="0" distL="0" distR="0">
                  <wp:extent cx="5924550" cy="2914650"/>
                  <wp:effectExtent l="0" t="0" r="0" b="0"/>
                  <wp:docPr id="2" name="图片 2" descr="F:/王海燕/2024年康乐镇政府财务/2024年预算公开/图片2.png图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F:/王海燕/2024年康乐镇政府财务/2024年预算公开/图片2.png图片2"/>
                          <pic:cNvPicPr>
                            <a:picLocks noChangeAspect="1" noChangeArrowheads="1"/>
                          </pic:cNvPicPr>
                        </pic:nvPicPr>
                        <pic:blipFill>
                          <a:blip r:embed="rId8"/>
                          <a:srcRect t="4925" b="4925"/>
                          <a:stretch>
                            <a:fillRect/>
                          </a:stretch>
                        </pic:blipFill>
                        <pic:spPr>
                          <a:xfrm>
                            <a:off x="0" y="0"/>
                            <a:ext cx="5924550" cy="2914650"/>
                          </a:xfrm>
                          <a:prstGeom prst="rect">
                            <a:avLst/>
                          </a:prstGeom>
                          <a:noFill/>
                          <a:ln>
                            <a:noFill/>
                          </a:ln>
                        </pic:spPr>
                      </pic:pic>
                    </a:graphicData>
                  </a:graphic>
                </wp:inline>
              </w:drawing>
            </w:r>
          </w:p>
        </w:tc>
      </w:tr>
    </w:tbl>
    <w:p w14:paraId="7010EADC">
      <w:pPr>
        <w:adjustRightInd w:val="0"/>
        <w:snapToGrid w:val="0"/>
        <w:spacing w:line="640" w:lineRule="exact"/>
        <w:ind w:firstLine="640" w:firstLineChars="200"/>
        <w:contextualSpacing/>
        <w:rPr>
          <w:rFonts w:ascii="黑体" w:hAnsi="黑体" w:eastAsia="黑体" w:cs="宋体"/>
          <w:kern w:val="0"/>
          <w:sz w:val="32"/>
          <w:szCs w:val="32"/>
        </w:rPr>
      </w:pPr>
      <w:r>
        <w:rPr>
          <w:rFonts w:hint="eastAsia" w:ascii="黑体" w:hAnsi="黑体" w:eastAsia="黑体" w:cs="宋体"/>
          <w:kern w:val="0"/>
          <w:sz w:val="32"/>
          <w:szCs w:val="32"/>
        </w:rPr>
        <w:t>六、一般公共预算财政拨款机关运行经费情况</w:t>
      </w:r>
    </w:p>
    <w:p w14:paraId="035B6BFD">
      <w:pPr>
        <w:widowControl/>
        <w:adjustRightInd w:val="0"/>
        <w:snapToGrid w:val="0"/>
        <w:spacing w:line="640" w:lineRule="exact"/>
        <w:ind w:firstLine="640" w:firstLineChars="200"/>
        <w:contextualSpacing/>
        <w:jc w:val="left"/>
        <w:rPr>
          <w:rFonts w:ascii="仿宋_GB2312" w:hAnsi="仿宋" w:eastAsia="仿宋_GB2312"/>
          <w:sz w:val="32"/>
          <w:szCs w:val="32"/>
          <w:highlight w:val="none"/>
        </w:rPr>
      </w:pPr>
      <w:r>
        <w:rPr>
          <w:rFonts w:hint="eastAsia" w:ascii="仿宋_GB2312" w:hAnsi="仿宋" w:eastAsia="仿宋_GB2312"/>
          <w:sz w:val="32"/>
          <w:szCs w:val="32"/>
          <w:highlight w:val="none"/>
        </w:rPr>
        <w:t>机关运行经费</w:t>
      </w:r>
      <w:r>
        <w:rPr>
          <w:rFonts w:hint="eastAsia" w:ascii="仿宋_GB2312" w:hAnsi="仿宋" w:eastAsia="仿宋_GB2312"/>
          <w:sz w:val="32"/>
          <w:szCs w:val="32"/>
          <w:highlight w:val="none"/>
          <w:lang w:val="en-US" w:eastAsia="zh-CN"/>
        </w:rPr>
        <w:t>151.43</w:t>
      </w:r>
      <w:r>
        <w:rPr>
          <w:rFonts w:hint="eastAsia" w:ascii="仿宋_GB2312" w:hAnsi="仿宋" w:eastAsia="仿宋_GB2312"/>
          <w:sz w:val="32"/>
          <w:szCs w:val="32"/>
          <w:highlight w:val="none"/>
        </w:rPr>
        <w:t>万元，较202</w:t>
      </w:r>
      <w:r>
        <w:rPr>
          <w:rFonts w:hint="eastAsia" w:ascii="仿宋_GB2312" w:hAnsi="仿宋" w:eastAsia="仿宋_GB2312"/>
          <w:sz w:val="32"/>
          <w:szCs w:val="32"/>
          <w:highlight w:val="none"/>
          <w:lang w:val="en-US" w:eastAsia="zh-CN"/>
        </w:rPr>
        <w:t>4</w:t>
      </w:r>
      <w:r>
        <w:rPr>
          <w:rFonts w:hint="eastAsia" w:ascii="仿宋_GB2312" w:hAnsi="仿宋" w:eastAsia="仿宋_GB2312"/>
          <w:sz w:val="32"/>
          <w:szCs w:val="32"/>
          <w:highlight w:val="none"/>
        </w:rPr>
        <w:t>年预算减少</w:t>
      </w:r>
      <w:r>
        <w:rPr>
          <w:rFonts w:hint="eastAsia" w:ascii="仿宋_GB2312" w:hAnsi="仿宋" w:eastAsia="仿宋_GB2312"/>
          <w:sz w:val="32"/>
          <w:szCs w:val="32"/>
          <w:highlight w:val="none"/>
          <w:lang w:val="en-US" w:eastAsia="zh-CN"/>
        </w:rPr>
        <w:t>194.08</w:t>
      </w:r>
      <w:r>
        <w:rPr>
          <w:rFonts w:hint="eastAsia" w:ascii="仿宋_GB2312" w:hAnsi="仿宋" w:eastAsia="仿宋_GB2312"/>
          <w:sz w:val="32"/>
          <w:szCs w:val="32"/>
          <w:highlight w:val="none"/>
        </w:rPr>
        <w:t>万元，下降</w:t>
      </w:r>
      <w:r>
        <w:rPr>
          <w:rFonts w:hint="eastAsia" w:ascii="仿宋_GB2312" w:hAnsi="仿宋" w:eastAsia="仿宋_GB2312"/>
          <w:sz w:val="32"/>
          <w:szCs w:val="32"/>
          <w:highlight w:val="none"/>
          <w:lang w:val="en-US" w:eastAsia="zh-CN"/>
        </w:rPr>
        <w:t>56.17</w:t>
      </w:r>
      <w:r>
        <w:rPr>
          <w:rFonts w:hint="eastAsia" w:ascii="仿宋_GB2312" w:hAnsi="仿宋" w:eastAsia="仿宋_GB2312"/>
          <w:sz w:val="32"/>
          <w:szCs w:val="32"/>
          <w:highlight w:val="none"/>
        </w:rPr>
        <w:t xml:space="preserve"> %，</w:t>
      </w:r>
      <w:r>
        <w:rPr>
          <w:rFonts w:hint="eastAsia" w:ascii="仿宋_GB2312" w:hAnsi="仿宋" w:eastAsia="仿宋_GB2312"/>
          <w:sz w:val="32"/>
          <w:szCs w:val="32"/>
          <w:highlight w:val="none"/>
          <w:lang w:eastAsia="zh-CN"/>
        </w:rPr>
        <w:t>下降</w:t>
      </w:r>
      <w:r>
        <w:rPr>
          <w:rFonts w:hint="eastAsia" w:ascii="仿宋_GB2312" w:hAnsi="仿宋" w:eastAsia="仿宋_GB2312"/>
          <w:sz w:val="32"/>
          <w:szCs w:val="32"/>
          <w:highlight w:val="none"/>
        </w:rPr>
        <w:t>的主要原因是</w:t>
      </w:r>
      <w:r>
        <w:rPr>
          <w:rFonts w:hint="eastAsia" w:ascii="仿宋_GB2312" w:hAnsi="仿宋" w:eastAsia="仿宋_GB2312"/>
          <w:sz w:val="32"/>
          <w:szCs w:val="32"/>
          <w:highlight w:val="none"/>
          <w:lang w:eastAsia="zh-CN"/>
        </w:rPr>
        <w:t>严格落实过紧日子政策，从严编制预算</w:t>
      </w:r>
      <w:r>
        <w:rPr>
          <w:rFonts w:hint="eastAsia" w:ascii="仿宋_GB2312" w:hAnsi="仿宋" w:eastAsia="仿宋_GB2312"/>
          <w:sz w:val="32"/>
          <w:szCs w:val="32"/>
          <w:highlight w:val="none"/>
        </w:rPr>
        <w:t>。</w:t>
      </w:r>
    </w:p>
    <w:p w14:paraId="6EE3E7AA">
      <w:pPr>
        <w:adjustRightInd w:val="0"/>
        <w:snapToGrid w:val="0"/>
        <w:spacing w:line="640" w:lineRule="exact"/>
        <w:ind w:firstLine="640" w:firstLineChars="200"/>
        <w:contextualSpacing/>
        <w:rPr>
          <w:rFonts w:ascii="黑体" w:hAnsi="黑体" w:eastAsia="黑体" w:cs="宋体"/>
          <w:kern w:val="0"/>
          <w:sz w:val="32"/>
          <w:szCs w:val="32"/>
        </w:rPr>
      </w:pPr>
      <w:r>
        <w:rPr>
          <w:rFonts w:hint="eastAsia" w:ascii="黑体" w:hAnsi="黑体" w:eastAsia="黑体" w:cs="宋体"/>
          <w:kern w:val="0"/>
          <w:sz w:val="32"/>
          <w:szCs w:val="32"/>
        </w:rPr>
        <w:t>七、政府采购安排情况</w:t>
      </w:r>
    </w:p>
    <w:p w14:paraId="5065BA82">
      <w:pPr>
        <w:widowControl/>
        <w:adjustRightInd w:val="0"/>
        <w:snapToGrid w:val="0"/>
        <w:spacing w:line="640" w:lineRule="exact"/>
        <w:ind w:firstLine="640" w:firstLineChars="200"/>
        <w:contextualSpacing/>
        <w:jc w:val="left"/>
        <w:rPr>
          <w:rFonts w:ascii="仿宋_GB2312" w:hAnsi="仿宋" w:eastAsia="仿宋_GB2312"/>
          <w:sz w:val="32"/>
          <w:szCs w:val="32"/>
          <w:highlight w:val="none"/>
        </w:rPr>
      </w:pPr>
      <w:r>
        <w:rPr>
          <w:rFonts w:hint="eastAsia" w:ascii="仿宋_GB2312" w:hAnsi="仿宋" w:eastAsia="仿宋_GB2312"/>
          <w:sz w:val="32"/>
          <w:szCs w:val="32"/>
          <w:highlight w:val="none"/>
        </w:rPr>
        <w:t>202</w:t>
      </w:r>
      <w:r>
        <w:rPr>
          <w:rFonts w:hint="eastAsia" w:ascii="仿宋_GB2312" w:hAnsi="仿宋" w:eastAsia="仿宋_GB2312"/>
          <w:sz w:val="32"/>
          <w:szCs w:val="32"/>
          <w:highlight w:val="none"/>
          <w:lang w:val="en-US" w:eastAsia="zh-CN"/>
        </w:rPr>
        <w:t>5</w:t>
      </w:r>
      <w:r>
        <w:rPr>
          <w:rFonts w:hint="eastAsia" w:ascii="仿宋_GB2312" w:hAnsi="仿宋" w:eastAsia="仿宋_GB2312"/>
          <w:sz w:val="32"/>
          <w:szCs w:val="32"/>
          <w:highlight w:val="none"/>
        </w:rPr>
        <w:t>年，单位政府采购预算总额</w:t>
      </w:r>
      <w:r>
        <w:rPr>
          <w:rFonts w:hint="eastAsia" w:ascii="仿宋_GB2312" w:hAnsi="仿宋" w:eastAsia="仿宋_GB2312"/>
          <w:sz w:val="32"/>
          <w:szCs w:val="32"/>
          <w:highlight w:val="none"/>
          <w:lang w:val="en-US" w:eastAsia="zh-CN"/>
        </w:rPr>
        <w:t>25.32</w:t>
      </w:r>
      <w:r>
        <w:rPr>
          <w:rFonts w:hint="eastAsia" w:ascii="仿宋_GB2312" w:hAnsi="仿宋" w:eastAsia="仿宋_GB2312"/>
          <w:sz w:val="32"/>
          <w:szCs w:val="32"/>
          <w:highlight w:val="none"/>
        </w:rPr>
        <w:t>万元，其中：政府采购货物预算</w:t>
      </w:r>
      <w:r>
        <w:rPr>
          <w:rFonts w:hint="eastAsia" w:ascii="仿宋_GB2312" w:hAnsi="仿宋" w:eastAsia="仿宋_GB2312"/>
          <w:sz w:val="32"/>
          <w:szCs w:val="32"/>
          <w:highlight w:val="none"/>
          <w:lang w:val="en-US" w:eastAsia="zh-CN"/>
        </w:rPr>
        <w:t>10.32</w:t>
      </w:r>
      <w:r>
        <w:rPr>
          <w:rFonts w:hint="eastAsia" w:ascii="仿宋_GB2312" w:hAnsi="仿宋" w:eastAsia="仿宋_GB2312"/>
          <w:sz w:val="32"/>
          <w:szCs w:val="32"/>
          <w:highlight w:val="none"/>
        </w:rPr>
        <w:t>万元，政府采购工程预算</w:t>
      </w:r>
      <w:r>
        <w:rPr>
          <w:rFonts w:hint="eastAsia" w:ascii="仿宋_GB2312" w:hAnsi="仿宋" w:eastAsia="仿宋_GB2312"/>
          <w:sz w:val="32"/>
          <w:szCs w:val="32"/>
          <w:highlight w:val="none"/>
          <w:lang w:val="en-US" w:eastAsia="zh-CN"/>
        </w:rPr>
        <w:t>0</w:t>
      </w:r>
      <w:r>
        <w:rPr>
          <w:rFonts w:hint="eastAsia" w:ascii="仿宋_GB2312" w:hAnsi="仿宋" w:eastAsia="仿宋_GB2312"/>
          <w:sz w:val="32"/>
          <w:szCs w:val="32"/>
          <w:highlight w:val="none"/>
        </w:rPr>
        <w:t>万元，政府采购服务预算</w:t>
      </w:r>
      <w:r>
        <w:rPr>
          <w:rFonts w:hint="eastAsia" w:ascii="仿宋_GB2312" w:hAnsi="仿宋" w:eastAsia="仿宋_GB2312"/>
          <w:sz w:val="32"/>
          <w:szCs w:val="32"/>
          <w:highlight w:val="none"/>
          <w:lang w:val="en-US" w:eastAsia="zh-CN"/>
        </w:rPr>
        <w:t>15</w:t>
      </w:r>
      <w:r>
        <w:rPr>
          <w:rFonts w:hint="eastAsia" w:ascii="仿宋_GB2312" w:hAnsi="仿宋" w:eastAsia="仿宋_GB2312"/>
          <w:sz w:val="32"/>
          <w:szCs w:val="32"/>
          <w:highlight w:val="none"/>
        </w:rPr>
        <w:t>万元。</w:t>
      </w:r>
    </w:p>
    <w:p w14:paraId="0ECC9FA4">
      <w:pPr>
        <w:widowControl/>
        <w:adjustRightInd w:val="0"/>
        <w:snapToGrid w:val="0"/>
        <w:spacing w:line="640" w:lineRule="exact"/>
        <w:ind w:firstLine="640" w:firstLineChars="200"/>
        <w:contextualSpacing/>
        <w:jc w:val="left"/>
        <w:rPr>
          <w:rFonts w:ascii="仿宋_GB2312" w:hAnsi="仿宋" w:eastAsia="仿宋_GB2312"/>
          <w:sz w:val="32"/>
          <w:szCs w:val="32"/>
          <w:highlight w:val="none"/>
        </w:rPr>
      </w:pPr>
      <w:r>
        <w:rPr>
          <w:rFonts w:hint="eastAsia" w:ascii="仿宋_GB2312" w:hAnsi="仿宋" w:eastAsia="仿宋_GB2312"/>
          <w:sz w:val="32"/>
          <w:szCs w:val="32"/>
          <w:highlight w:val="none"/>
        </w:rPr>
        <w:t>202</w:t>
      </w:r>
      <w:r>
        <w:rPr>
          <w:rFonts w:hint="eastAsia" w:ascii="仿宋_GB2312" w:hAnsi="仿宋" w:eastAsia="仿宋_GB2312"/>
          <w:sz w:val="32"/>
          <w:szCs w:val="32"/>
          <w:highlight w:val="none"/>
          <w:lang w:val="en-US" w:eastAsia="zh-CN"/>
        </w:rPr>
        <w:t>5</w:t>
      </w:r>
      <w:r>
        <w:rPr>
          <w:rFonts w:hint="eastAsia" w:ascii="仿宋_GB2312" w:hAnsi="仿宋" w:eastAsia="仿宋_GB2312"/>
          <w:sz w:val="32"/>
          <w:szCs w:val="32"/>
          <w:highlight w:val="none"/>
        </w:rPr>
        <w:t xml:space="preserve">年，单位面向中小企业预留政府采购项目预算金额 </w:t>
      </w:r>
      <w:r>
        <w:rPr>
          <w:rFonts w:hint="eastAsia" w:ascii="仿宋_GB2312" w:hAnsi="仿宋" w:eastAsia="仿宋_GB2312"/>
          <w:sz w:val="32"/>
          <w:szCs w:val="32"/>
          <w:highlight w:val="none"/>
          <w:lang w:val="en-US" w:eastAsia="zh-CN"/>
        </w:rPr>
        <w:t>0</w:t>
      </w:r>
      <w:r>
        <w:rPr>
          <w:rFonts w:hint="eastAsia" w:ascii="仿宋_GB2312" w:hAnsi="仿宋" w:eastAsia="仿宋_GB2312"/>
          <w:sz w:val="32"/>
          <w:szCs w:val="32"/>
          <w:highlight w:val="none"/>
        </w:rPr>
        <w:t>万元，小微企业预留政府采购项目预算</w:t>
      </w:r>
      <w:r>
        <w:rPr>
          <w:rFonts w:hint="eastAsia" w:ascii="仿宋_GB2312" w:hAnsi="仿宋" w:eastAsia="仿宋_GB2312"/>
          <w:sz w:val="32"/>
          <w:szCs w:val="32"/>
          <w:highlight w:val="none"/>
          <w:lang w:eastAsia="zh-CN"/>
        </w:rPr>
        <w:t>金额</w:t>
      </w:r>
      <w:r>
        <w:rPr>
          <w:rFonts w:hint="eastAsia" w:ascii="仿宋_GB2312" w:hAnsi="仿宋" w:eastAsia="仿宋_GB2312"/>
          <w:sz w:val="32"/>
          <w:szCs w:val="32"/>
          <w:highlight w:val="none"/>
          <w:lang w:val="en-US" w:eastAsia="zh-CN"/>
        </w:rPr>
        <w:t>25.32</w:t>
      </w:r>
      <w:r>
        <w:rPr>
          <w:rFonts w:hint="eastAsia" w:ascii="仿宋_GB2312" w:hAnsi="仿宋" w:eastAsia="仿宋_GB2312"/>
          <w:sz w:val="32"/>
          <w:szCs w:val="32"/>
          <w:highlight w:val="none"/>
        </w:rPr>
        <w:t>万元。</w:t>
      </w:r>
    </w:p>
    <w:p w14:paraId="72F67BEE">
      <w:pPr>
        <w:adjustRightInd w:val="0"/>
        <w:snapToGrid w:val="0"/>
        <w:spacing w:line="640" w:lineRule="exact"/>
        <w:ind w:firstLine="640" w:firstLineChars="200"/>
        <w:contextualSpacing/>
        <w:rPr>
          <w:rFonts w:ascii="黑体" w:hAnsi="黑体" w:eastAsia="黑体" w:cs="宋体"/>
          <w:kern w:val="0"/>
          <w:sz w:val="32"/>
          <w:szCs w:val="32"/>
        </w:rPr>
      </w:pPr>
      <w:r>
        <w:rPr>
          <w:rFonts w:hint="eastAsia" w:ascii="黑体" w:hAnsi="黑体" w:eastAsia="黑体" w:cs="宋体"/>
          <w:kern w:val="0"/>
          <w:sz w:val="32"/>
          <w:szCs w:val="32"/>
        </w:rPr>
        <w:t>八、国有资产占用情况</w:t>
      </w:r>
    </w:p>
    <w:p w14:paraId="43CE2866">
      <w:pPr>
        <w:widowControl/>
        <w:adjustRightInd w:val="0"/>
        <w:snapToGrid w:val="0"/>
        <w:spacing w:line="640" w:lineRule="exact"/>
        <w:ind w:firstLine="640" w:firstLineChars="200"/>
        <w:contextualSpacing/>
        <w:jc w:val="left"/>
        <w:rPr>
          <w:rFonts w:ascii="仿宋_GB2312" w:hAnsi="仿宋" w:eastAsia="仿宋_GB2312"/>
          <w:sz w:val="32"/>
          <w:szCs w:val="32"/>
          <w:highlight w:val="none"/>
        </w:rPr>
      </w:pPr>
      <w:r>
        <w:rPr>
          <w:rFonts w:hint="eastAsia" w:ascii="仿宋_GB2312" w:hAnsi="仿宋" w:eastAsia="仿宋_GB2312"/>
          <w:sz w:val="32"/>
          <w:szCs w:val="32"/>
          <w:highlight w:val="none"/>
        </w:rPr>
        <w:t>上年末固定资产</w:t>
      </w:r>
      <w:r>
        <w:rPr>
          <w:rFonts w:hint="eastAsia" w:ascii="仿宋_GB2312" w:hAnsi="仿宋" w:eastAsia="仿宋_GB2312"/>
          <w:sz w:val="32"/>
          <w:szCs w:val="32"/>
          <w:highlight w:val="none"/>
          <w:lang w:eastAsia="zh-CN"/>
        </w:rPr>
        <w:t>余额</w:t>
      </w:r>
      <w:r>
        <w:rPr>
          <w:rFonts w:hint="eastAsia" w:ascii="仿宋_GB2312" w:hAnsi="仿宋" w:eastAsia="仿宋_GB2312"/>
          <w:sz w:val="32"/>
          <w:szCs w:val="32"/>
          <w:highlight w:val="none"/>
        </w:rPr>
        <w:t>为</w:t>
      </w:r>
      <w:r>
        <w:rPr>
          <w:rFonts w:hint="eastAsia" w:ascii="仿宋_GB2312" w:hAnsi="仿宋" w:eastAsia="仿宋_GB2312"/>
          <w:sz w:val="32"/>
          <w:szCs w:val="32"/>
          <w:highlight w:val="none"/>
          <w:lang w:val="en-US" w:eastAsia="zh-CN"/>
        </w:rPr>
        <w:t>1498.06</w:t>
      </w:r>
      <w:r>
        <w:rPr>
          <w:rFonts w:hint="eastAsia" w:ascii="仿宋_GB2312" w:hAnsi="仿宋" w:eastAsia="仿宋_GB2312"/>
          <w:sz w:val="32"/>
          <w:szCs w:val="32"/>
          <w:highlight w:val="none"/>
        </w:rPr>
        <w:t>万元。其中：办公用房</w:t>
      </w:r>
      <w:r>
        <w:rPr>
          <w:rFonts w:hint="eastAsia" w:ascii="仿宋_GB2312" w:hAnsi="仿宋" w:eastAsia="仿宋_GB2312"/>
          <w:sz w:val="32"/>
          <w:szCs w:val="32"/>
          <w:highlight w:val="none"/>
          <w:lang w:val="en-US" w:eastAsia="zh-CN"/>
        </w:rPr>
        <w:t>9489.63</w:t>
      </w:r>
      <w:r>
        <w:rPr>
          <w:rFonts w:hint="eastAsia" w:ascii="仿宋_GB2312" w:hAnsi="仿宋" w:eastAsia="仿宋_GB2312"/>
          <w:sz w:val="32"/>
          <w:szCs w:val="32"/>
          <w:highlight w:val="none"/>
        </w:rPr>
        <w:t xml:space="preserve">平方米，价值 </w:t>
      </w:r>
      <w:r>
        <w:rPr>
          <w:rFonts w:hint="eastAsia" w:ascii="仿宋_GB2312" w:hAnsi="仿宋" w:eastAsia="仿宋_GB2312"/>
          <w:sz w:val="32"/>
          <w:szCs w:val="32"/>
          <w:highlight w:val="none"/>
          <w:lang w:val="en-US" w:eastAsia="zh-CN"/>
        </w:rPr>
        <w:t>1081.86</w:t>
      </w:r>
      <w:r>
        <w:rPr>
          <w:rFonts w:hint="eastAsia" w:ascii="仿宋_GB2312" w:hAnsi="仿宋" w:eastAsia="仿宋_GB2312"/>
          <w:sz w:val="32"/>
          <w:szCs w:val="32"/>
          <w:highlight w:val="none"/>
        </w:rPr>
        <w:t>万元。预算单位共有公务用车</w:t>
      </w:r>
      <w:r>
        <w:rPr>
          <w:rFonts w:hint="eastAsia" w:ascii="仿宋_GB2312" w:hAnsi="仿宋" w:eastAsia="仿宋_GB2312"/>
          <w:sz w:val="32"/>
          <w:szCs w:val="32"/>
          <w:highlight w:val="none"/>
          <w:lang w:val="en-US" w:eastAsia="zh-CN"/>
        </w:rPr>
        <w:t>0</w:t>
      </w:r>
      <w:r>
        <w:rPr>
          <w:rFonts w:hint="eastAsia" w:ascii="仿宋_GB2312" w:hAnsi="仿宋" w:eastAsia="仿宋_GB2312"/>
          <w:sz w:val="32"/>
          <w:szCs w:val="32"/>
          <w:highlight w:val="none"/>
        </w:rPr>
        <w:t>辆，价值</w:t>
      </w:r>
      <w:r>
        <w:rPr>
          <w:rFonts w:hint="eastAsia" w:ascii="仿宋_GB2312" w:hAnsi="仿宋" w:eastAsia="仿宋_GB2312"/>
          <w:sz w:val="32"/>
          <w:szCs w:val="32"/>
          <w:highlight w:val="none"/>
          <w:lang w:val="en-US" w:eastAsia="zh-CN"/>
        </w:rPr>
        <w:t>0</w:t>
      </w:r>
      <w:r>
        <w:rPr>
          <w:rFonts w:hint="eastAsia" w:ascii="仿宋_GB2312" w:hAnsi="仿宋" w:eastAsia="仿宋_GB2312"/>
          <w:sz w:val="32"/>
          <w:szCs w:val="32"/>
          <w:highlight w:val="none"/>
        </w:rPr>
        <w:t>万元。单价20万元以上的设备价值</w:t>
      </w:r>
      <w:r>
        <w:rPr>
          <w:rFonts w:hint="eastAsia" w:ascii="仿宋_GB2312" w:hAnsi="仿宋" w:eastAsia="仿宋_GB2312"/>
          <w:sz w:val="32"/>
          <w:szCs w:val="32"/>
          <w:highlight w:val="none"/>
          <w:lang w:val="en-US" w:eastAsia="zh-CN"/>
        </w:rPr>
        <w:t>0</w:t>
      </w:r>
      <w:r>
        <w:rPr>
          <w:rFonts w:hint="eastAsia" w:ascii="仿宋_GB2312" w:hAnsi="仿宋" w:eastAsia="仿宋_GB2312"/>
          <w:sz w:val="32"/>
          <w:szCs w:val="32"/>
          <w:highlight w:val="none"/>
        </w:rPr>
        <w:t>万元。202</w:t>
      </w:r>
      <w:r>
        <w:rPr>
          <w:rFonts w:hint="eastAsia" w:ascii="仿宋_GB2312" w:hAnsi="仿宋" w:eastAsia="仿宋_GB2312"/>
          <w:sz w:val="32"/>
          <w:szCs w:val="32"/>
          <w:highlight w:val="none"/>
          <w:lang w:val="en-US" w:eastAsia="zh-CN"/>
        </w:rPr>
        <w:t>5</w:t>
      </w:r>
      <w:r>
        <w:rPr>
          <w:rFonts w:hint="eastAsia" w:ascii="仿宋_GB2312" w:hAnsi="仿宋" w:eastAsia="仿宋_GB2312"/>
          <w:sz w:val="32"/>
          <w:szCs w:val="32"/>
          <w:highlight w:val="none"/>
        </w:rPr>
        <w:t>年拟采购固定资产约</w:t>
      </w:r>
      <w:r>
        <w:rPr>
          <w:rFonts w:hint="eastAsia" w:ascii="仿宋_GB2312" w:hAnsi="仿宋" w:eastAsia="仿宋_GB2312"/>
          <w:sz w:val="32"/>
          <w:szCs w:val="32"/>
          <w:highlight w:val="none"/>
          <w:lang w:val="en-US" w:eastAsia="zh-CN"/>
        </w:rPr>
        <w:t>2.52</w:t>
      </w:r>
      <w:r>
        <w:rPr>
          <w:rFonts w:hint="eastAsia" w:ascii="仿宋_GB2312" w:hAnsi="仿宋" w:eastAsia="仿宋_GB2312"/>
          <w:sz w:val="32"/>
          <w:szCs w:val="32"/>
          <w:highlight w:val="none"/>
        </w:rPr>
        <w:t>万元。</w:t>
      </w:r>
    </w:p>
    <w:p w14:paraId="1E5F747A">
      <w:pPr>
        <w:adjustRightInd w:val="0"/>
        <w:snapToGrid w:val="0"/>
        <w:spacing w:line="640" w:lineRule="exact"/>
        <w:ind w:firstLine="640" w:firstLineChars="200"/>
        <w:contextualSpacing/>
        <w:rPr>
          <w:rFonts w:ascii="黑体" w:hAnsi="黑体" w:eastAsia="黑体" w:cs="宋体"/>
          <w:kern w:val="0"/>
          <w:sz w:val="32"/>
          <w:szCs w:val="32"/>
        </w:rPr>
      </w:pPr>
      <w:r>
        <w:rPr>
          <w:rFonts w:hint="eastAsia" w:ascii="黑体" w:hAnsi="黑体" w:eastAsia="黑体" w:cs="宋体"/>
          <w:kern w:val="0"/>
          <w:sz w:val="32"/>
          <w:szCs w:val="32"/>
        </w:rPr>
        <w:t>九、其他重要事项情况说明</w:t>
      </w:r>
    </w:p>
    <w:p w14:paraId="04A87250">
      <w:pPr>
        <w:adjustRightInd w:val="0"/>
        <w:snapToGrid w:val="0"/>
        <w:spacing w:line="640" w:lineRule="exact"/>
        <w:ind w:firstLine="643" w:firstLineChars="200"/>
        <w:contextualSpacing/>
        <w:rPr>
          <w:rFonts w:ascii="楷体_GB2312" w:hAnsi="楷体" w:eastAsia="楷体_GB2312" w:cs="宋体"/>
          <w:b/>
          <w:bCs/>
          <w:kern w:val="0"/>
          <w:sz w:val="32"/>
          <w:szCs w:val="32"/>
        </w:rPr>
      </w:pPr>
      <w:r>
        <w:rPr>
          <w:rFonts w:hint="eastAsia" w:ascii="楷体_GB2312" w:hAnsi="楷体" w:eastAsia="楷体_GB2312" w:cs="宋体"/>
          <w:b/>
          <w:bCs/>
          <w:kern w:val="0"/>
          <w:sz w:val="32"/>
          <w:szCs w:val="32"/>
        </w:rPr>
        <w:t>（一）政府性基金预算支出情况</w:t>
      </w:r>
    </w:p>
    <w:p w14:paraId="435A2A93">
      <w:pPr>
        <w:widowControl/>
        <w:adjustRightInd w:val="0"/>
        <w:snapToGrid w:val="0"/>
        <w:spacing w:line="640" w:lineRule="exact"/>
        <w:ind w:firstLine="640" w:firstLineChars="200"/>
        <w:contextualSpacing/>
        <w:jc w:val="left"/>
        <w:rPr>
          <w:rFonts w:hint="eastAsia" w:ascii="仿宋_GB2312" w:hAnsi="仿宋" w:eastAsia="仿宋_GB2312"/>
          <w:sz w:val="32"/>
          <w:szCs w:val="32"/>
          <w:lang w:eastAsia="zh-CN"/>
        </w:rPr>
      </w:pPr>
      <w:r>
        <w:rPr>
          <w:rFonts w:hint="eastAsia" w:ascii="仿宋_GB2312" w:hAnsi="仿宋" w:eastAsia="仿宋_GB2312"/>
          <w:sz w:val="32"/>
          <w:szCs w:val="32"/>
        </w:rPr>
        <w:t>202</w:t>
      </w:r>
      <w:r>
        <w:rPr>
          <w:rFonts w:hint="eastAsia" w:ascii="仿宋_GB2312" w:hAnsi="仿宋" w:eastAsia="仿宋_GB2312"/>
          <w:sz w:val="32"/>
          <w:szCs w:val="32"/>
          <w:lang w:val="en-US" w:eastAsia="zh-CN"/>
        </w:rPr>
        <w:t>5</w:t>
      </w:r>
      <w:r>
        <w:rPr>
          <w:rFonts w:hint="eastAsia" w:ascii="仿宋_GB2312" w:hAnsi="仿宋" w:eastAsia="仿宋_GB2312"/>
          <w:sz w:val="32"/>
          <w:szCs w:val="32"/>
        </w:rPr>
        <w:t>年使用政府性基金预算拨款安排支出</w:t>
      </w:r>
      <w:r>
        <w:rPr>
          <w:rFonts w:hint="eastAsia" w:ascii="仿宋_GB2312" w:hAnsi="仿宋" w:eastAsia="仿宋_GB2312"/>
          <w:sz w:val="32"/>
          <w:szCs w:val="32"/>
          <w:lang w:val="en-US" w:eastAsia="zh-CN"/>
        </w:rPr>
        <w:t>0</w:t>
      </w:r>
      <w:r>
        <w:rPr>
          <w:rFonts w:hint="eastAsia" w:ascii="仿宋_GB2312" w:hAnsi="仿宋" w:eastAsia="仿宋_GB2312"/>
          <w:sz w:val="32"/>
          <w:szCs w:val="32"/>
        </w:rPr>
        <w:t>万元，</w:t>
      </w:r>
      <w:r>
        <w:rPr>
          <w:rFonts w:hint="eastAsia" w:ascii="仿宋_GB2312" w:hAnsi="仿宋" w:eastAsia="仿宋_GB2312"/>
          <w:sz w:val="32"/>
          <w:szCs w:val="32"/>
          <w:lang w:eastAsia="zh-CN"/>
        </w:rPr>
        <w:t>本年未安排</w:t>
      </w:r>
      <w:r>
        <w:rPr>
          <w:rFonts w:hint="eastAsia" w:ascii="仿宋_GB2312" w:hAnsi="仿宋" w:eastAsia="仿宋_GB2312"/>
          <w:sz w:val="32"/>
          <w:szCs w:val="32"/>
        </w:rPr>
        <w:t>政府性基金预算</w:t>
      </w:r>
      <w:r>
        <w:rPr>
          <w:rFonts w:hint="eastAsia" w:ascii="仿宋_GB2312" w:hAnsi="仿宋" w:eastAsia="仿宋_GB2312"/>
          <w:sz w:val="32"/>
          <w:szCs w:val="32"/>
          <w:lang w:eastAsia="zh-CN"/>
        </w:rPr>
        <w:t>。</w:t>
      </w:r>
    </w:p>
    <w:p w14:paraId="3EF82E2F">
      <w:pPr>
        <w:adjustRightInd w:val="0"/>
        <w:snapToGrid w:val="0"/>
        <w:spacing w:line="640" w:lineRule="exact"/>
        <w:ind w:firstLine="643" w:firstLineChars="200"/>
        <w:contextualSpacing/>
        <w:rPr>
          <w:rFonts w:ascii="楷体_GB2312" w:hAnsi="楷体" w:eastAsia="楷体_GB2312" w:cs="宋体"/>
          <w:b/>
          <w:bCs/>
          <w:kern w:val="0"/>
          <w:sz w:val="32"/>
          <w:szCs w:val="32"/>
        </w:rPr>
      </w:pPr>
      <w:r>
        <w:rPr>
          <w:rFonts w:hint="eastAsia" w:ascii="楷体_GB2312" w:hAnsi="楷体" w:eastAsia="楷体_GB2312" w:cs="宋体"/>
          <w:b/>
          <w:bCs/>
          <w:kern w:val="0"/>
          <w:sz w:val="32"/>
          <w:szCs w:val="32"/>
        </w:rPr>
        <w:t>（二）非税收入情况</w:t>
      </w:r>
    </w:p>
    <w:p w14:paraId="561FFA23">
      <w:pPr>
        <w:widowControl/>
        <w:adjustRightInd w:val="0"/>
        <w:snapToGrid w:val="0"/>
        <w:spacing w:line="640" w:lineRule="exact"/>
        <w:ind w:firstLine="640" w:firstLineChars="200"/>
        <w:contextualSpacing/>
        <w:jc w:val="left"/>
        <w:rPr>
          <w:rFonts w:ascii="仿宋_GB2312" w:hAnsi="仿宋" w:eastAsia="仿宋_GB2312"/>
          <w:sz w:val="32"/>
          <w:szCs w:val="32"/>
        </w:rPr>
      </w:pPr>
      <w:r>
        <w:rPr>
          <w:rFonts w:hint="eastAsia" w:ascii="仿宋_GB2312" w:hAnsi="仿宋" w:eastAsia="仿宋_GB2312"/>
          <w:sz w:val="32"/>
          <w:szCs w:val="32"/>
        </w:rPr>
        <w:t>202</w:t>
      </w:r>
      <w:r>
        <w:rPr>
          <w:rFonts w:hint="eastAsia" w:ascii="仿宋_GB2312" w:hAnsi="仿宋" w:eastAsia="仿宋_GB2312"/>
          <w:sz w:val="32"/>
          <w:szCs w:val="32"/>
          <w:lang w:val="en-US" w:eastAsia="zh-CN"/>
        </w:rPr>
        <w:t>5</w:t>
      </w:r>
      <w:r>
        <w:rPr>
          <w:rFonts w:hint="eastAsia" w:ascii="仿宋_GB2312" w:hAnsi="仿宋" w:eastAsia="仿宋_GB2312"/>
          <w:sz w:val="32"/>
          <w:szCs w:val="32"/>
        </w:rPr>
        <w:t>年本部门/单位涉及非税收入，202</w:t>
      </w:r>
      <w:r>
        <w:rPr>
          <w:rFonts w:hint="eastAsia" w:ascii="仿宋_GB2312" w:hAnsi="仿宋" w:eastAsia="仿宋_GB2312"/>
          <w:sz w:val="32"/>
          <w:szCs w:val="32"/>
          <w:lang w:val="en-US" w:eastAsia="zh-CN"/>
        </w:rPr>
        <w:t>5</w:t>
      </w:r>
      <w:r>
        <w:rPr>
          <w:rFonts w:hint="eastAsia" w:ascii="仿宋_GB2312" w:hAnsi="仿宋" w:eastAsia="仿宋_GB2312"/>
          <w:sz w:val="32"/>
          <w:szCs w:val="32"/>
        </w:rPr>
        <w:t>年计划征收</w:t>
      </w:r>
      <w:r>
        <w:rPr>
          <w:rFonts w:hint="eastAsia" w:ascii="仿宋_GB2312" w:hAnsi="仿宋" w:eastAsia="仿宋_GB2312"/>
          <w:sz w:val="32"/>
          <w:szCs w:val="32"/>
          <w:lang w:val="en-US" w:eastAsia="zh-CN"/>
        </w:rPr>
        <w:t>10</w:t>
      </w:r>
      <w:r>
        <w:rPr>
          <w:rFonts w:hint="eastAsia" w:ascii="仿宋_GB2312" w:hAnsi="仿宋" w:eastAsia="仿宋_GB2312"/>
          <w:sz w:val="32"/>
          <w:szCs w:val="32"/>
        </w:rPr>
        <w:t>万元。</w:t>
      </w:r>
    </w:p>
    <w:p w14:paraId="29F293E2">
      <w:pPr>
        <w:adjustRightInd w:val="0"/>
        <w:snapToGrid w:val="0"/>
        <w:spacing w:line="640" w:lineRule="exact"/>
        <w:ind w:firstLine="643" w:firstLineChars="200"/>
        <w:contextualSpacing/>
        <w:rPr>
          <w:rFonts w:ascii="楷体_GB2312" w:hAnsi="楷体" w:eastAsia="楷体_GB2312" w:cs="宋体"/>
          <w:b/>
          <w:bCs/>
          <w:kern w:val="0"/>
          <w:sz w:val="32"/>
          <w:szCs w:val="32"/>
        </w:rPr>
      </w:pPr>
      <w:r>
        <w:rPr>
          <w:rFonts w:hint="eastAsia" w:ascii="楷体_GB2312" w:hAnsi="楷体" w:eastAsia="楷体_GB2312" w:cs="宋体"/>
          <w:b/>
          <w:bCs/>
          <w:kern w:val="0"/>
          <w:sz w:val="32"/>
          <w:szCs w:val="32"/>
        </w:rPr>
        <w:t>（三）重点项目情况</w:t>
      </w:r>
    </w:p>
    <w:p w14:paraId="29611A21">
      <w:pPr>
        <w:widowControl/>
        <w:adjustRightInd w:val="0"/>
        <w:snapToGrid w:val="0"/>
        <w:spacing w:line="640" w:lineRule="exact"/>
        <w:ind w:firstLine="640" w:firstLineChars="200"/>
        <w:contextualSpacing/>
        <w:jc w:val="left"/>
        <w:rPr>
          <w:rFonts w:ascii="仿宋_GB2312" w:hAnsi="仿宋" w:eastAsia="仿宋_GB2312"/>
          <w:sz w:val="32"/>
          <w:szCs w:val="32"/>
        </w:rPr>
      </w:pPr>
      <w:r>
        <w:rPr>
          <w:rFonts w:hint="eastAsia" w:ascii="仿宋_GB2312" w:hAnsi="仿宋" w:eastAsia="仿宋_GB2312"/>
          <w:sz w:val="32"/>
          <w:szCs w:val="32"/>
        </w:rPr>
        <w:t>选取1个202</w:t>
      </w:r>
      <w:r>
        <w:rPr>
          <w:rFonts w:hint="eastAsia" w:ascii="仿宋_GB2312" w:hAnsi="仿宋" w:eastAsia="仿宋_GB2312"/>
          <w:sz w:val="32"/>
          <w:szCs w:val="32"/>
          <w:lang w:val="en-US" w:eastAsia="zh-CN"/>
        </w:rPr>
        <w:t>5</w:t>
      </w:r>
      <w:r>
        <w:rPr>
          <w:rFonts w:hint="eastAsia" w:ascii="仿宋_GB2312" w:hAnsi="仿宋" w:eastAsia="仿宋_GB2312"/>
          <w:sz w:val="32"/>
          <w:szCs w:val="32"/>
        </w:rPr>
        <w:t>年单位预算安排的经济社会发展类项目公开项目文本信息，包括项目名称、项目概况、立项依据、实施主体、实施周期、实施计划、年度预算安排、预期总体目标等内容。没有经济社会发展类项目支出的部门/单位可公开其他类项目。</w:t>
      </w:r>
    </w:p>
    <w:p w14:paraId="7B43B523">
      <w:pPr>
        <w:widowControl/>
        <w:adjustRightInd w:val="0"/>
        <w:snapToGrid w:val="0"/>
        <w:spacing w:line="640" w:lineRule="exact"/>
        <w:ind w:firstLine="640" w:firstLineChars="200"/>
        <w:contextualSpacing/>
        <w:jc w:val="left"/>
        <w:rPr>
          <w:rFonts w:hint="eastAsia" w:ascii="仿宋_GB2312" w:hAnsi="仿宋_GB2312" w:eastAsia="仿宋_GB2312" w:cs="仿宋_GB2312"/>
          <w:sz w:val="32"/>
          <w:szCs w:val="32"/>
          <w:lang w:val="en-US" w:eastAsia="zh-CN"/>
        </w:rPr>
      </w:pPr>
      <w:r>
        <w:rPr>
          <w:rFonts w:hint="eastAsia" w:ascii="仿宋_GB2312" w:hAnsi="仿宋" w:eastAsia="仿宋_GB2312"/>
          <w:sz w:val="32"/>
          <w:szCs w:val="32"/>
        </w:rPr>
        <w:t>项目名称：</w:t>
      </w:r>
      <w:r>
        <w:rPr>
          <w:rFonts w:hint="eastAsia" w:ascii="仿宋_GB2312" w:hAnsi="仿宋" w:eastAsia="仿宋_GB2312"/>
          <w:sz w:val="32"/>
          <w:szCs w:val="32"/>
          <w:highlight w:val="none"/>
          <w:lang w:eastAsia="zh-CN"/>
        </w:rPr>
        <w:t>祁连山</w:t>
      </w:r>
      <w:r>
        <w:rPr>
          <w:rFonts w:hint="eastAsia" w:ascii="仿宋_GB2312" w:hAnsi="仿宋_GB2312" w:eastAsia="仿宋_GB2312" w:cs="仿宋_GB2312"/>
          <w:sz w:val="32"/>
          <w:szCs w:val="32"/>
          <w:lang w:val="en-US" w:eastAsia="zh-CN"/>
        </w:rPr>
        <w:t>生态管护员工作经费</w:t>
      </w:r>
    </w:p>
    <w:p w14:paraId="458ACE1A">
      <w:pPr>
        <w:widowControl/>
        <w:adjustRightInd w:val="0"/>
        <w:snapToGrid w:val="0"/>
        <w:spacing w:line="640" w:lineRule="exact"/>
        <w:ind w:firstLine="640" w:firstLineChars="200"/>
        <w:contextualSpacing/>
        <w:jc w:val="left"/>
        <w:rPr>
          <w:rFonts w:ascii="仿宋_GB2312" w:hAnsi="仿宋" w:eastAsia="仿宋_GB2312"/>
          <w:sz w:val="32"/>
          <w:szCs w:val="32"/>
        </w:rPr>
      </w:pPr>
      <w:r>
        <w:rPr>
          <w:rFonts w:hint="eastAsia" w:ascii="仿宋_GB2312" w:hAnsi="仿宋" w:eastAsia="仿宋_GB2312"/>
          <w:sz w:val="32"/>
          <w:szCs w:val="32"/>
        </w:rPr>
        <w:t>1、项目概况：</w:t>
      </w:r>
      <w:r>
        <w:rPr>
          <w:rFonts w:hint="eastAsia" w:ascii="仿宋_GB2312" w:hAnsi="仿宋" w:eastAsia="仿宋_GB2312"/>
          <w:sz w:val="32"/>
          <w:szCs w:val="32"/>
          <w:lang w:eastAsia="zh-CN"/>
        </w:rPr>
        <w:t>积极参与辖区天然林保护、国家级公益林建设、造林绿化、封山育林、天然草原治理、退牧还草、有害生物防控等生态工程建设，</w:t>
      </w:r>
      <w:r>
        <w:rPr>
          <w:rFonts w:hint="eastAsia" w:ascii="仿宋_GB2312" w:hAnsi="仿宋" w:eastAsia="仿宋_GB2312"/>
          <w:sz w:val="32"/>
          <w:szCs w:val="32"/>
        </w:rPr>
        <w:t>全镇共聘用9</w:t>
      </w:r>
      <w:r>
        <w:rPr>
          <w:rFonts w:hint="eastAsia" w:ascii="仿宋_GB2312" w:hAnsi="仿宋" w:eastAsia="仿宋_GB2312"/>
          <w:sz w:val="32"/>
          <w:szCs w:val="32"/>
          <w:lang w:val="en-US" w:eastAsia="zh-CN"/>
        </w:rPr>
        <w:t>6</w:t>
      </w:r>
      <w:r>
        <w:rPr>
          <w:rFonts w:hint="eastAsia" w:ascii="仿宋_GB2312" w:hAnsi="仿宋" w:eastAsia="仿宋_GB2312"/>
          <w:sz w:val="32"/>
          <w:szCs w:val="32"/>
          <w:lang w:eastAsia="zh-CN"/>
        </w:rPr>
        <w:t>名</w:t>
      </w:r>
      <w:r>
        <w:rPr>
          <w:rFonts w:hint="eastAsia" w:ascii="仿宋_GB2312" w:hAnsi="仿宋" w:eastAsia="仿宋_GB2312"/>
          <w:sz w:val="32"/>
          <w:szCs w:val="32"/>
        </w:rPr>
        <w:t>生态管护员，每人每</w:t>
      </w:r>
      <w:r>
        <w:rPr>
          <w:rFonts w:hint="eastAsia" w:ascii="仿宋_GB2312" w:hAnsi="仿宋" w:eastAsia="仿宋_GB2312"/>
          <w:sz w:val="32"/>
          <w:szCs w:val="32"/>
          <w:lang w:eastAsia="zh-CN"/>
        </w:rPr>
        <w:t>年</w:t>
      </w:r>
      <w:r>
        <w:rPr>
          <w:rFonts w:hint="eastAsia" w:ascii="仿宋_GB2312" w:hAnsi="仿宋" w:eastAsia="仿宋_GB2312"/>
          <w:sz w:val="32"/>
          <w:szCs w:val="32"/>
        </w:rPr>
        <w:t>办公经费1500元，全年合计：9</w:t>
      </w:r>
      <w:r>
        <w:rPr>
          <w:rFonts w:hint="eastAsia" w:ascii="仿宋_GB2312" w:hAnsi="仿宋" w:eastAsia="仿宋_GB2312"/>
          <w:sz w:val="32"/>
          <w:szCs w:val="32"/>
          <w:lang w:val="en-US" w:eastAsia="zh-CN"/>
        </w:rPr>
        <w:t>6</w:t>
      </w:r>
      <w:r>
        <w:rPr>
          <w:rFonts w:hint="eastAsia" w:ascii="仿宋_GB2312" w:hAnsi="仿宋" w:eastAsia="仿宋_GB2312"/>
          <w:sz w:val="32"/>
          <w:szCs w:val="32"/>
        </w:rPr>
        <w:t>人*1500元</w:t>
      </w:r>
      <w:r>
        <w:rPr>
          <w:rFonts w:hint="eastAsia" w:ascii="仿宋_GB2312" w:hAnsi="仿宋" w:eastAsia="仿宋_GB2312"/>
          <w:sz w:val="32"/>
          <w:szCs w:val="32"/>
          <w:lang w:val="en-US" w:eastAsia="zh-CN"/>
        </w:rPr>
        <w:t>=</w:t>
      </w:r>
      <w:r>
        <w:rPr>
          <w:rFonts w:hint="eastAsia" w:ascii="仿宋_GB2312" w:hAnsi="仿宋" w:eastAsia="仿宋_GB2312"/>
          <w:sz w:val="32"/>
          <w:szCs w:val="32"/>
        </w:rPr>
        <w:t>14</w:t>
      </w:r>
      <w:r>
        <w:rPr>
          <w:rFonts w:hint="eastAsia" w:ascii="仿宋_GB2312" w:hAnsi="仿宋" w:eastAsia="仿宋_GB2312"/>
          <w:sz w:val="32"/>
          <w:szCs w:val="32"/>
          <w:lang w:val="en-US" w:eastAsia="zh-CN"/>
        </w:rPr>
        <w:t>40</w:t>
      </w:r>
      <w:r>
        <w:rPr>
          <w:rFonts w:hint="eastAsia" w:ascii="仿宋_GB2312" w:hAnsi="仿宋" w:eastAsia="仿宋_GB2312"/>
          <w:sz w:val="32"/>
          <w:szCs w:val="32"/>
        </w:rPr>
        <w:t>00元。</w:t>
      </w:r>
    </w:p>
    <w:p w14:paraId="0FF48DA4">
      <w:pPr>
        <w:widowControl/>
        <w:adjustRightInd w:val="0"/>
        <w:snapToGrid w:val="0"/>
        <w:spacing w:line="640" w:lineRule="exact"/>
        <w:ind w:firstLine="640" w:firstLineChars="200"/>
        <w:contextualSpacing/>
        <w:jc w:val="left"/>
        <w:rPr>
          <w:rFonts w:ascii="仿宋_GB2312" w:hAnsi="仿宋" w:eastAsia="仿宋_GB2312"/>
          <w:sz w:val="32"/>
          <w:szCs w:val="32"/>
        </w:rPr>
      </w:pPr>
      <w:r>
        <w:rPr>
          <w:rFonts w:hint="eastAsia" w:ascii="仿宋_GB2312" w:hAnsi="仿宋" w:eastAsia="仿宋_GB2312"/>
          <w:sz w:val="32"/>
          <w:szCs w:val="32"/>
        </w:rPr>
        <w:t>2、立项依据：肃南裕固族自治县人民政府办公室关于印发祁连山国家级自然保护区（肃南段）生态管护员</w:t>
      </w:r>
      <w:r>
        <w:rPr>
          <w:rFonts w:hint="eastAsia" w:ascii="仿宋_GB2312" w:hAnsi="仿宋" w:eastAsia="仿宋_GB2312"/>
          <w:sz w:val="32"/>
          <w:szCs w:val="32"/>
          <w:lang w:eastAsia="zh-CN"/>
        </w:rPr>
        <w:t>资金</w:t>
      </w:r>
      <w:r>
        <w:rPr>
          <w:rFonts w:hint="eastAsia" w:ascii="仿宋_GB2312" w:hAnsi="仿宋" w:eastAsia="仿宋_GB2312"/>
          <w:sz w:val="32"/>
          <w:szCs w:val="32"/>
        </w:rPr>
        <w:t>管理办</w:t>
      </w:r>
      <w:r>
        <w:rPr>
          <w:rFonts w:hint="eastAsia" w:ascii="仿宋_GB2312" w:hAnsi="仿宋" w:eastAsia="仿宋_GB2312"/>
          <w:sz w:val="32"/>
          <w:szCs w:val="32"/>
          <w:lang w:eastAsia="zh-CN"/>
        </w:rPr>
        <w:t>法</w:t>
      </w:r>
      <w:r>
        <w:rPr>
          <w:rFonts w:hint="eastAsia" w:ascii="仿宋_GB2312" w:hAnsi="仿宋" w:eastAsia="仿宋_GB2312"/>
          <w:sz w:val="32"/>
          <w:szCs w:val="32"/>
        </w:rPr>
        <w:t>的通知</w:t>
      </w:r>
    </w:p>
    <w:p w14:paraId="43D39109">
      <w:pPr>
        <w:widowControl/>
        <w:adjustRightInd w:val="0"/>
        <w:snapToGrid w:val="0"/>
        <w:spacing w:line="640" w:lineRule="exact"/>
        <w:ind w:firstLine="640" w:firstLineChars="200"/>
        <w:contextualSpacing/>
        <w:jc w:val="left"/>
        <w:rPr>
          <w:rFonts w:hint="default" w:ascii="仿宋_GB2312" w:hAnsi="仿宋" w:eastAsia="仿宋_GB2312"/>
          <w:sz w:val="32"/>
          <w:szCs w:val="32"/>
          <w:lang w:val="en-US" w:eastAsia="zh-CN"/>
        </w:rPr>
      </w:pPr>
      <w:r>
        <w:rPr>
          <w:rFonts w:hint="eastAsia" w:ascii="仿宋_GB2312" w:hAnsi="仿宋" w:eastAsia="仿宋_GB2312"/>
          <w:sz w:val="32"/>
          <w:szCs w:val="32"/>
        </w:rPr>
        <w:t>3、实施主体：</w:t>
      </w:r>
      <w:r>
        <w:rPr>
          <w:rFonts w:hint="eastAsia" w:ascii="仿宋_GB2312" w:hAnsi="仿宋" w:eastAsia="仿宋_GB2312"/>
          <w:sz w:val="32"/>
          <w:szCs w:val="32"/>
          <w:lang w:eastAsia="zh-CN"/>
        </w:rPr>
        <w:t>肃南裕固族自治县康乐镇人民</w:t>
      </w:r>
      <w:r>
        <w:rPr>
          <w:rFonts w:hint="eastAsia" w:ascii="仿宋_GB2312" w:hAnsi="仿宋" w:eastAsia="仿宋_GB2312"/>
          <w:sz w:val="32"/>
          <w:szCs w:val="32"/>
          <w:lang w:val="en-US" w:eastAsia="zh-CN"/>
        </w:rPr>
        <w:t>政府</w:t>
      </w:r>
    </w:p>
    <w:p w14:paraId="439ABD68">
      <w:pPr>
        <w:widowControl/>
        <w:adjustRightInd w:val="0"/>
        <w:snapToGrid w:val="0"/>
        <w:spacing w:line="640" w:lineRule="exact"/>
        <w:ind w:firstLine="640" w:firstLineChars="200"/>
        <w:contextualSpacing/>
        <w:jc w:val="left"/>
        <w:rPr>
          <w:rFonts w:hint="default" w:ascii="仿宋_GB2312" w:hAnsi="仿宋" w:eastAsia="仿宋_GB2312"/>
          <w:sz w:val="32"/>
          <w:szCs w:val="32"/>
          <w:lang w:val="en-US" w:eastAsia="zh-CN"/>
        </w:rPr>
      </w:pPr>
      <w:r>
        <w:rPr>
          <w:rFonts w:hint="eastAsia" w:ascii="仿宋_GB2312" w:hAnsi="仿宋" w:eastAsia="仿宋_GB2312"/>
          <w:sz w:val="32"/>
          <w:szCs w:val="32"/>
        </w:rPr>
        <w:t>4、实施周期：</w:t>
      </w:r>
      <w:r>
        <w:rPr>
          <w:rFonts w:hint="eastAsia" w:ascii="仿宋_GB2312" w:hAnsi="仿宋" w:eastAsia="仿宋_GB2312"/>
          <w:sz w:val="32"/>
          <w:szCs w:val="32"/>
          <w:lang w:val="en-US" w:eastAsia="zh-CN"/>
        </w:rPr>
        <w:t>2025年1月1日—2025年12月31日</w:t>
      </w:r>
    </w:p>
    <w:p w14:paraId="39C841D1">
      <w:pPr>
        <w:widowControl/>
        <w:adjustRightInd w:val="0"/>
        <w:snapToGrid w:val="0"/>
        <w:spacing w:line="640" w:lineRule="exact"/>
        <w:ind w:firstLine="640" w:firstLineChars="200"/>
        <w:contextualSpacing/>
        <w:jc w:val="left"/>
        <w:rPr>
          <w:rFonts w:ascii="仿宋_GB2312" w:hAnsi="仿宋" w:eastAsia="仿宋_GB2312"/>
          <w:sz w:val="32"/>
          <w:szCs w:val="32"/>
        </w:rPr>
      </w:pPr>
      <w:r>
        <w:rPr>
          <w:rFonts w:hint="eastAsia" w:ascii="仿宋_GB2312" w:hAnsi="仿宋" w:eastAsia="仿宋_GB2312"/>
          <w:sz w:val="32"/>
          <w:szCs w:val="32"/>
        </w:rPr>
        <w:t>5、实施计划：202</w:t>
      </w:r>
      <w:r>
        <w:rPr>
          <w:rFonts w:hint="eastAsia" w:ascii="仿宋_GB2312" w:hAnsi="仿宋" w:eastAsia="仿宋_GB2312"/>
          <w:sz w:val="32"/>
          <w:szCs w:val="32"/>
          <w:lang w:val="en-US" w:eastAsia="zh-CN"/>
        </w:rPr>
        <w:t>5</w:t>
      </w:r>
      <w:r>
        <w:rPr>
          <w:rFonts w:hint="eastAsia" w:ascii="仿宋_GB2312" w:hAnsi="仿宋" w:eastAsia="仿宋_GB2312"/>
          <w:sz w:val="32"/>
          <w:szCs w:val="32"/>
        </w:rPr>
        <w:t>年1月1日</w:t>
      </w:r>
      <w:r>
        <w:rPr>
          <w:rFonts w:hint="eastAsia" w:ascii="仿宋_GB2312" w:hAnsi="仿宋" w:eastAsia="仿宋_GB2312"/>
          <w:sz w:val="32"/>
          <w:szCs w:val="32"/>
          <w:lang w:eastAsia="zh-CN"/>
        </w:rPr>
        <w:t>—</w:t>
      </w:r>
      <w:r>
        <w:rPr>
          <w:rFonts w:hint="eastAsia" w:ascii="仿宋_GB2312" w:hAnsi="仿宋" w:eastAsia="仿宋_GB2312"/>
          <w:sz w:val="32"/>
          <w:szCs w:val="32"/>
        </w:rPr>
        <w:t>202</w:t>
      </w:r>
      <w:r>
        <w:rPr>
          <w:rFonts w:hint="eastAsia" w:ascii="仿宋_GB2312" w:hAnsi="仿宋" w:eastAsia="仿宋_GB2312"/>
          <w:sz w:val="32"/>
          <w:szCs w:val="32"/>
          <w:lang w:val="en-US" w:eastAsia="zh-CN"/>
        </w:rPr>
        <w:t>5</w:t>
      </w:r>
      <w:r>
        <w:rPr>
          <w:rFonts w:hint="eastAsia" w:ascii="仿宋_GB2312" w:hAnsi="仿宋" w:eastAsia="仿宋_GB2312"/>
          <w:sz w:val="32"/>
          <w:szCs w:val="32"/>
        </w:rPr>
        <w:t>年12月31日生态管护站正常运转</w:t>
      </w:r>
    </w:p>
    <w:p w14:paraId="331342EA">
      <w:pPr>
        <w:widowControl/>
        <w:adjustRightInd w:val="0"/>
        <w:snapToGrid w:val="0"/>
        <w:spacing w:line="640" w:lineRule="exact"/>
        <w:ind w:firstLine="640" w:firstLineChars="200"/>
        <w:contextualSpacing/>
        <w:jc w:val="left"/>
        <w:rPr>
          <w:rFonts w:hint="default" w:ascii="仿宋_GB2312" w:hAnsi="仿宋" w:eastAsia="仿宋_GB2312"/>
          <w:sz w:val="32"/>
          <w:szCs w:val="32"/>
          <w:lang w:val="en-US" w:eastAsia="zh-CN"/>
        </w:rPr>
      </w:pPr>
      <w:r>
        <w:rPr>
          <w:rFonts w:hint="eastAsia" w:ascii="仿宋_GB2312" w:hAnsi="仿宋" w:eastAsia="仿宋_GB2312"/>
          <w:sz w:val="32"/>
          <w:szCs w:val="32"/>
        </w:rPr>
        <w:t>6、年度预算安排</w:t>
      </w:r>
      <w:r>
        <w:rPr>
          <w:rFonts w:hint="eastAsia" w:ascii="仿宋_GB2312" w:hAnsi="仿宋" w:eastAsia="仿宋_GB2312"/>
          <w:sz w:val="32"/>
          <w:szCs w:val="32"/>
          <w:lang w:eastAsia="zh-CN"/>
        </w:rPr>
        <w:t>：对责任片区草原、冰川、雪山、森林、湿地、野生动物等所有自然资源进行日常巡护监管，做好巡护日志，建立资源管护台账；巡护中发现辖区内偷牧、抢牧行为及破坏自然资源、非法捕杀野生动物、非法采挖野生植物的违法行为，及时制止并报告，积极协助乡镇依法查处，配合做好辖区内森林、草原病虫及野生动植物疫病监测工作，积极开展受伤、受困野生动物救助、放生工作。</w:t>
      </w:r>
      <w:r>
        <w:rPr>
          <w:rFonts w:hint="eastAsia" w:ascii="仿宋_GB2312" w:hAnsi="仿宋" w:eastAsia="仿宋_GB2312"/>
          <w:sz w:val="32"/>
          <w:szCs w:val="32"/>
          <w:lang w:val="en-US" w:eastAsia="zh-CN"/>
        </w:rPr>
        <w:t xml:space="preserve"> </w:t>
      </w:r>
    </w:p>
    <w:p w14:paraId="570BB3A9">
      <w:pPr>
        <w:widowControl/>
        <w:adjustRightInd w:val="0"/>
        <w:snapToGrid w:val="0"/>
        <w:spacing w:line="640" w:lineRule="exact"/>
        <w:ind w:firstLine="640" w:firstLineChars="200"/>
        <w:contextualSpacing/>
        <w:jc w:val="left"/>
        <w:rPr>
          <w:rFonts w:ascii="仿宋_GB2312" w:hAnsi="仿宋" w:eastAsia="仿宋_GB2312"/>
          <w:sz w:val="32"/>
          <w:szCs w:val="32"/>
        </w:rPr>
      </w:pPr>
      <w:r>
        <w:rPr>
          <w:rFonts w:hint="eastAsia" w:ascii="仿宋_GB2312" w:hAnsi="仿宋" w:eastAsia="仿宋_GB2312"/>
          <w:sz w:val="32"/>
          <w:szCs w:val="32"/>
        </w:rPr>
        <w:t>7、预期总体目标：进一步提升祁连山自然保护区生态环境水平，实现人口、资源、环境的良性循环；改善了搬迁群众的生活环境，保障了收入水平，增强了可持续发展能力。</w:t>
      </w:r>
    </w:p>
    <w:p w14:paraId="294A160F">
      <w:pPr>
        <w:adjustRightInd w:val="0"/>
        <w:snapToGrid w:val="0"/>
        <w:spacing w:line="640" w:lineRule="exact"/>
        <w:ind w:firstLine="643" w:firstLineChars="200"/>
        <w:contextualSpacing/>
        <w:rPr>
          <w:rFonts w:ascii="楷体_GB2312" w:hAnsi="楷体" w:eastAsia="楷体_GB2312" w:cs="宋体"/>
          <w:b/>
          <w:bCs/>
          <w:kern w:val="0"/>
          <w:sz w:val="32"/>
          <w:szCs w:val="32"/>
        </w:rPr>
      </w:pPr>
      <w:r>
        <w:rPr>
          <w:rFonts w:hint="eastAsia" w:ascii="楷体_GB2312" w:hAnsi="楷体" w:eastAsia="楷体_GB2312" w:cs="宋体"/>
          <w:b/>
          <w:bCs/>
          <w:kern w:val="0"/>
          <w:sz w:val="32"/>
          <w:szCs w:val="32"/>
        </w:rPr>
        <w:t>（四）部门管理转移支付情况</w:t>
      </w:r>
    </w:p>
    <w:p w14:paraId="3D5A6D84">
      <w:pPr>
        <w:widowControl/>
        <w:adjustRightInd w:val="0"/>
        <w:snapToGrid w:val="0"/>
        <w:spacing w:line="640" w:lineRule="exact"/>
        <w:ind w:firstLine="640" w:firstLineChars="200"/>
        <w:contextualSpacing/>
        <w:jc w:val="left"/>
        <w:rPr>
          <w:rFonts w:ascii="仿宋_GB2312" w:hAnsi="仿宋" w:eastAsia="仿宋_GB2312"/>
          <w:sz w:val="32"/>
          <w:szCs w:val="32"/>
        </w:rPr>
      </w:pPr>
      <w:r>
        <w:rPr>
          <w:rFonts w:hint="eastAsia" w:ascii="仿宋_GB2312" w:hAnsi="仿宋" w:eastAsia="仿宋_GB2312"/>
          <w:sz w:val="32"/>
          <w:szCs w:val="32"/>
        </w:rPr>
        <w:t>202</w:t>
      </w:r>
      <w:r>
        <w:rPr>
          <w:rFonts w:hint="eastAsia" w:ascii="仿宋_GB2312" w:hAnsi="仿宋" w:eastAsia="仿宋_GB2312"/>
          <w:sz w:val="32"/>
          <w:szCs w:val="32"/>
          <w:lang w:val="en-US" w:eastAsia="zh-CN"/>
        </w:rPr>
        <w:t>5</w:t>
      </w:r>
      <w:r>
        <w:rPr>
          <w:rFonts w:hint="eastAsia" w:ascii="仿宋_GB2312" w:hAnsi="仿宋" w:eastAsia="仿宋_GB2312"/>
          <w:sz w:val="32"/>
          <w:szCs w:val="32"/>
        </w:rPr>
        <w:t>年，部门管理转移支付</w:t>
      </w:r>
      <w:r>
        <w:rPr>
          <w:rFonts w:hint="eastAsia" w:ascii="仿宋_GB2312" w:hAnsi="仿宋" w:eastAsia="仿宋_GB2312"/>
          <w:sz w:val="32"/>
          <w:szCs w:val="32"/>
          <w:lang w:val="en-US" w:eastAsia="zh-CN"/>
        </w:rPr>
        <w:t>0</w:t>
      </w:r>
      <w:r>
        <w:rPr>
          <w:rFonts w:hint="eastAsia" w:ascii="仿宋_GB2312" w:hAnsi="仿宋" w:eastAsia="仿宋_GB2312"/>
          <w:sz w:val="32"/>
          <w:szCs w:val="32"/>
        </w:rPr>
        <w:t>万元，较202</w:t>
      </w:r>
      <w:r>
        <w:rPr>
          <w:rFonts w:hint="eastAsia" w:ascii="仿宋_GB2312" w:hAnsi="仿宋" w:eastAsia="仿宋_GB2312"/>
          <w:sz w:val="32"/>
          <w:szCs w:val="32"/>
          <w:lang w:val="en-US" w:eastAsia="zh-CN"/>
        </w:rPr>
        <w:t>4</w:t>
      </w:r>
      <w:r>
        <w:rPr>
          <w:rFonts w:hint="eastAsia" w:ascii="仿宋_GB2312" w:hAnsi="仿宋" w:eastAsia="仿宋_GB2312"/>
          <w:sz w:val="32"/>
          <w:szCs w:val="32"/>
        </w:rPr>
        <w:t>年预算增加</w:t>
      </w:r>
      <w:r>
        <w:rPr>
          <w:rFonts w:hint="eastAsia" w:ascii="仿宋_GB2312" w:hAnsi="仿宋" w:eastAsia="仿宋_GB2312"/>
          <w:sz w:val="32"/>
          <w:szCs w:val="32"/>
          <w:lang w:val="en-US" w:eastAsia="zh-CN"/>
        </w:rPr>
        <w:t>0</w:t>
      </w:r>
      <w:r>
        <w:rPr>
          <w:rFonts w:hint="eastAsia" w:ascii="仿宋_GB2312" w:hAnsi="仿宋" w:eastAsia="仿宋_GB2312"/>
          <w:sz w:val="32"/>
          <w:szCs w:val="32"/>
        </w:rPr>
        <w:t xml:space="preserve"> 万元。</w:t>
      </w:r>
    </w:p>
    <w:p w14:paraId="653373DC">
      <w:pPr>
        <w:adjustRightInd w:val="0"/>
        <w:snapToGrid w:val="0"/>
        <w:spacing w:line="640" w:lineRule="exact"/>
        <w:ind w:firstLine="643" w:firstLineChars="200"/>
        <w:contextualSpacing/>
        <w:rPr>
          <w:rFonts w:ascii="楷体_GB2312" w:hAnsi="楷体" w:eastAsia="楷体_GB2312" w:cs="宋体"/>
          <w:b/>
          <w:bCs/>
          <w:kern w:val="0"/>
          <w:sz w:val="32"/>
          <w:szCs w:val="32"/>
        </w:rPr>
      </w:pPr>
      <w:r>
        <w:rPr>
          <w:rFonts w:hint="eastAsia" w:ascii="楷体_GB2312" w:hAnsi="楷体" w:eastAsia="楷体_GB2312" w:cs="宋体"/>
          <w:b/>
          <w:bCs/>
          <w:kern w:val="0"/>
          <w:sz w:val="32"/>
          <w:szCs w:val="32"/>
        </w:rPr>
        <w:t>（五）国有资本经营预算支出情况</w:t>
      </w:r>
    </w:p>
    <w:p w14:paraId="6974337A">
      <w:pPr>
        <w:widowControl/>
        <w:adjustRightInd w:val="0"/>
        <w:snapToGrid w:val="0"/>
        <w:spacing w:line="640" w:lineRule="exact"/>
        <w:ind w:firstLine="640" w:firstLineChars="200"/>
        <w:contextualSpacing/>
        <w:jc w:val="left"/>
        <w:rPr>
          <w:rFonts w:hint="eastAsia" w:ascii="仿宋_GB2312" w:hAnsi="仿宋" w:eastAsia="仿宋_GB2312"/>
          <w:sz w:val="32"/>
          <w:szCs w:val="32"/>
          <w:lang w:eastAsia="zh-CN"/>
        </w:rPr>
      </w:pPr>
      <w:r>
        <w:rPr>
          <w:rFonts w:hint="eastAsia" w:ascii="仿宋_GB2312" w:hAnsi="仿宋" w:eastAsia="仿宋_GB2312"/>
          <w:sz w:val="32"/>
          <w:szCs w:val="32"/>
        </w:rPr>
        <w:t>202</w:t>
      </w:r>
      <w:r>
        <w:rPr>
          <w:rFonts w:hint="eastAsia" w:ascii="仿宋_GB2312" w:hAnsi="仿宋" w:eastAsia="仿宋_GB2312"/>
          <w:sz w:val="32"/>
          <w:szCs w:val="32"/>
          <w:lang w:val="en-US" w:eastAsia="zh-CN"/>
        </w:rPr>
        <w:t>5</w:t>
      </w:r>
      <w:r>
        <w:rPr>
          <w:rFonts w:hint="eastAsia" w:ascii="仿宋_GB2312" w:hAnsi="仿宋" w:eastAsia="仿宋_GB2312"/>
          <w:sz w:val="32"/>
          <w:szCs w:val="32"/>
        </w:rPr>
        <w:t>年使用国有资本经营预算拨款安排支出</w:t>
      </w:r>
      <w:r>
        <w:rPr>
          <w:rFonts w:hint="eastAsia" w:ascii="仿宋_GB2312" w:hAnsi="仿宋" w:eastAsia="仿宋_GB2312"/>
          <w:sz w:val="32"/>
          <w:szCs w:val="32"/>
          <w:lang w:val="en-US" w:eastAsia="zh-CN"/>
        </w:rPr>
        <w:t>0</w:t>
      </w:r>
      <w:r>
        <w:rPr>
          <w:rFonts w:hint="eastAsia" w:ascii="仿宋_GB2312" w:hAnsi="仿宋" w:eastAsia="仿宋_GB2312"/>
          <w:sz w:val="32"/>
          <w:szCs w:val="32"/>
        </w:rPr>
        <w:t>万元</w:t>
      </w:r>
      <w:r>
        <w:rPr>
          <w:rFonts w:hint="eastAsia" w:ascii="仿宋_GB2312" w:hAnsi="仿宋" w:eastAsia="仿宋_GB2312"/>
          <w:sz w:val="32"/>
          <w:szCs w:val="32"/>
          <w:lang w:eastAsia="zh-CN"/>
        </w:rPr>
        <w:t>，本年未安排</w:t>
      </w:r>
      <w:r>
        <w:rPr>
          <w:rFonts w:hint="eastAsia" w:ascii="仿宋_GB2312" w:hAnsi="仿宋" w:eastAsia="仿宋_GB2312"/>
          <w:sz w:val="32"/>
          <w:szCs w:val="32"/>
        </w:rPr>
        <w:t>国有资本经营预算</w:t>
      </w:r>
      <w:r>
        <w:rPr>
          <w:rFonts w:hint="eastAsia" w:ascii="仿宋_GB2312" w:hAnsi="仿宋" w:eastAsia="仿宋_GB2312"/>
          <w:sz w:val="32"/>
          <w:szCs w:val="32"/>
          <w:lang w:eastAsia="zh-CN"/>
        </w:rPr>
        <w:t>。</w:t>
      </w:r>
    </w:p>
    <w:p w14:paraId="373A952F">
      <w:pPr>
        <w:adjustRightInd w:val="0"/>
        <w:snapToGrid w:val="0"/>
        <w:spacing w:line="640" w:lineRule="exact"/>
        <w:contextualSpacing/>
        <w:rPr>
          <w:rFonts w:ascii="黑体" w:hAnsi="黑体" w:eastAsia="黑体" w:cs="宋体"/>
          <w:kern w:val="0"/>
          <w:sz w:val="32"/>
          <w:szCs w:val="32"/>
        </w:rPr>
      </w:pPr>
      <w:r>
        <w:rPr>
          <w:rFonts w:hint="eastAsia" w:ascii="黑体" w:hAnsi="黑体" w:eastAsia="黑体" w:cs="宋体"/>
          <w:kern w:val="0"/>
          <w:sz w:val="32"/>
          <w:szCs w:val="32"/>
        </w:rPr>
        <w:t>十、预算绩效管理情况</w:t>
      </w:r>
    </w:p>
    <w:p w14:paraId="3069A6CC">
      <w:pPr>
        <w:adjustRightInd w:val="0"/>
        <w:snapToGrid w:val="0"/>
        <w:spacing w:line="640" w:lineRule="exact"/>
        <w:ind w:firstLine="643" w:firstLineChars="200"/>
        <w:contextualSpacing/>
        <w:rPr>
          <w:rFonts w:ascii="楷体_GB2312" w:hAnsi="楷体" w:eastAsia="楷体_GB2312" w:cs="宋体"/>
          <w:b/>
          <w:bCs/>
          <w:kern w:val="0"/>
          <w:sz w:val="32"/>
          <w:szCs w:val="32"/>
          <w:highlight w:val="none"/>
        </w:rPr>
      </w:pPr>
      <w:r>
        <w:rPr>
          <w:rFonts w:hint="eastAsia" w:ascii="楷体_GB2312" w:hAnsi="楷体" w:eastAsia="楷体_GB2312" w:cs="宋体"/>
          <w:b/>
          <w:bCs/>
          <w:kern w:val="0"/>
          <w:sz w:val="32"/>
          <w:szCs w:val="32"/>
          <w:highlight w:val="none"/>
        </w:rPr>
        <w:t>（一）202</w:t>
      </w:r>
      <w:r>
        <w:rPr>
          <w:rFonts w:hint="eastAsia" w:ascii="楷体_GB2312" w:hAnsi="楷体" w:eastAsia="楷体_GB2312" w:cs="宋体"/>
          <w:b/>
          <w:bCs/>
          <w:kern w:val="0"/>
          <w:sz w:val="32"/>
          <w:szCs w:val="32"/>
          <w:highlight w:val="none"/>
          <w:lang w:val="en-US" w:eastAsia="zh-CN"/>
        </w:rPr>
        <w:t>5</w:t>
      </w:r>
      <w:r>
        <w:rPr>
          <w:rFonts w:hint="eastAsia" w:ascii="楷体_GB2312" w:hAnsi="楷体" w:eastAsia="楷体_GB2312" w:cs="宋体"/>
          <w:b/>
          <w:bCs/>
          <w:kern w:val="0"/>
          <w:sz w:val="32"/>
          <w:szCs w:val="32"/>
          <w:highlight w:val="none"/>
        </w:rPr>
        <w:t>年预算绩效管理工作情况。</w:t>
      </w:r>
    </w:p>
    <w:p w14:paraId="5FBD0CC5">
      <w:pPr>
        <w:widowControl/>
        <w:adjustRightInd w:val="0"/>
        <w:snapToGrid w:val="0"/>
        <w:spacing w:line="640" w:lineRule="exact"/>
        <w:ind w:firstLine="640" w:firstLineChars="200"/>
        <w:contextualSpacing/>
        <w:jc w:val="left"/>
        <w:rPr>
          <w:rFonts w:ascii="仿宋_GB2312" w:hAnsi="仿宋" w:eastAsia="仿宋_GB2312"/>
          <w:sz w:val="32"/>
          <w:szCs w:val="32"/>
          <w:highlight w:val="none"/>
        </w:rPr>
      </w:pPr>
      <w:r>
        <w:rPr>
          <w:rFonts w:hint="eastAsia" w:ascii="仿宋_GB2312" w:hAnsi="仿宋" w:eastAsia="仿宋_GB2312"/>
          <w:sz w:val="32"/>
          <w:szCs w:val="32"/>
          <w:highlight w:val="none"/>
        </w:rPr>
        <w:t>按照</w:t>
      </w:r>
      <w:r>
        <w:rPr>
          <w:rFonts w:hint="eastAsia" w:ascii="仿宋_GB2312" w:hAnsi="仿宋" w:eastAsia="仿宋_GB2312"/>
          <w:sz w:val="32"/>
          <w:szCs w:val="32"/>
          <w:highlight w:val="none"/>
          <w:lang w:eastAsia="zh-CN"/>
        </w:rPr>
        <w:t>《中共中央 国务院</w:t>
      </w:r>
      <w:r>
        <w:rPr>
          <w:rFonts w:hint="eastAsia" w:ascii="仿宋_GB2312" w:hAnsi="仿宋" w:eastAsia="仿宋_GB2312"/>
          <w:sz w:val="32"/>
          <w:szCs w:val="32"/>
          <w:highlight w:val="none"/>
        </w:rPr>
        <w:t>关于全面实施预算绩效管理的意见》《中共甘肃省委 甘肃省人民政府关于全面实施预算绩效管理的实施意见》等相关要求，我们将绩效理念和方法融入预算编制、执行、决算和监督全过程认真开展各项工作。</w:t>
      </w:r>
    </w:p>
    <w:p w14:paraId="3F45F409">
      <w:pPr>
        <w:widowControl/>
        <w:adjustRightInd w:val="0"/>
        <w:snapToGrid w:val="0"/>
        <w:spacing w:line="640" w:lineRule="exact"/>
        <w:ind w:firstLine="643" w:firstLineChars="200"/>
        <w:contextualSpacing/>
        <w:jc w:val="left"/>
        <w:rPr>
          <w:rFonts w:ascii="仿宋_GB2312" w:hAnsi="仿宋" w:eastAsia="仿宋_GB2312"/>
          <w:sz w:val="32"/>
          <w:szCs w:val="32"/>
          <w:highlight w:val="none"/>
        </w:rPr>
      </w:pPr>
      <w:r>
        <w:rPr>
          <w:rFonts w:hint="eastAsia" w:ascii="仿宋_GB2312" w:hAnsi="仿宋" w:eastAsia="仿宋_GB2312"/>
          <w:b/>
          <w:sz w:val="32"/>
          <w:szCs w:val="32"/>
          <w:highlight w:val="none"/>
        </w:rPr>
        <w:t>1.绩效目标管理情况。</w:t>
      </w:r>
      <w:r>
        <w:rPr>
          <w:rFonts w:hint="eastAsia" w:ascii="仿宋_GB2312" w:hAnsi="仿宋" w:eastAsia="仿宋_GB2312"/>
          <w:sz w:val="32"/>
          <w:szCs w:val="32"/>
          <w:highlight w:val="none"/>
        </w:rPr>
        <w:t>202</w:t>
      </w:r>
      <w:r>
        <w:rPr>
          <w:rFonts w:hint="eastAsia" w:ascii="仿宋_GB2312" w:hAnsi="仿宋" w:eastAsia="仿宋_GB2312"/>
          <w:sz w:val="32"/>
          <w:szCs w:val="32"/>
          <w:highlight w:val="none"/>
          <w:lang w:val="en-US" w:eastAsia="zh-CN"/>
        </w:rPr>
        <w:t>5</w:t>
      </w:r>
      <w:r>
        <w:rPr>
          <w:rFonts w:hint="eastAsia" w:ascii="仿宋_GB2312" w:hAnsi="仿宋" w:eastAsia="仿宋_GB2312"/>
          <w:sz w:val="32"/>
          <w:szCs w:val="32"/>
          <w:highlight w:val="none"/>
        </w:rPr>
        <w:t>年度，按照“谁申请资金，谁设置目标”的原则，纳入部门预算管理的</w:t>
      </w:r>
      <w:r>
        <w:rPr>
          <w:rFonts w:hint="eastAsia" w:ascii="仿宋_GB2312" w:hAnsi="CIDFont+F6" w:eastAsia="仿宋_GB2312"/>
          <w:color w:val="000000"/>
          <w:sz w:val="32"/>
          <w:szCs w:val="32"/>
          <w:highlight w:val="none"/>
        </w:rPr>
        <w:t>单位</w:t>
      </w:r>
      <w:r>
        <w:rPr>
          <w:rFonts w:hint="eastAsia" w:ascii="仿宋_GB2312" w:hAnsi="仿宋" w:eastAsia="仿宋_GB2312"/>
          <w:sz w:val="32"/>
          <w:szCs w:val="32"/>
          <w:highlight w:val="none"/>
        </w:rPr>
        <w:t>整体支出和项目绩效目标</w:t>
      </w:r>
      <w:r>
        <w:rPr>
          <w:rFonts w:hint="eastAsia" w:ascii="仿宋_GB2312" w:hAnsi="仿宋" w:eastAsia="仿宋_GB2312"/>
          <w:sz w:val="32"/>
          <w:szCs w:val="32"/>
          <w:highlight w:val="none"/>
          <w:lang w:val="en-US" w:eastAsia="zh-CN"/>
        </w:rPr>
        <w:t>16</w:t>
      </w:r>
      <w:r>
        <w:rPr>
          <w:rFonts w:hint="eastAsia" w:ascii="仿宋_GB2312" w:hAnsi="仿宋" w:eastAsia="仿宋_GB2312"/>
          <w:sz w:val="32"/>
          <w:szCs w:val="32"/>
          <w:highlight w:val="none"/>
        </w:rPr>
        <w:t>个，按规定随年度预算一并公开项目</w:t>
      </w:r>
      <w:r>
        <w:rPr>
          <w:rFonts w:hint="eastAsia" w:ascii="仿宋_GB2312" w:hAnsi="仿宋" w:eastAsia="仿宋_GB2312"/>
          <w:sz w:val="32"/>
          <w:szCs w:val="32"/>
          <w:highlight w:val="none"/>
          <w:lang w:val="en-US" w:eastAsia="zh-CN"/>
        </w:rPr>
        <w:t>16</w:t>
      </w:r>
      <w:r>
        <w:rPr>
          <w:rFonts w:hint="eastAsia" w:ascii="仿宋_GB2312" w:hAnsi="仿宋" w:eastAsia="仿宋_GB2312"/>
          <w:sz w:val="32"/>
          <w:szCs w:val="32"/>
          <w:highlight w:val="none"/>
        </w:rPr>
        <w:t>个，公开率为</w:t>
      </w:r>
      <w:r>
        <w:rPr>
          <w:rFonts w:hint="eastAsia" w:ascii="仿宋_GB2312" w:hAnsi="仿宋" w:eastAsia="仿宋_GB2312"/>
          <w:sz w:val="32"/>
          <w:szCs w:val="32"/>
          <w:highlight w:val="none"/>
          <w:lang w:val="en-US" w:eastAsia="zh-CN"/>
        </w:rPr>
        <w:t>100</w:t>
      </w:r>
      <w:r>
        <w:rPr>
          <w:rFonts w:hint="eastAsia" w:ascii="仿宋_GB2312" w:hAnsi="仿宋" w:eastAsia="仿宋_GB2312"/>
          <w:sz w:val="32"/>
          <w:szCs w:val="32"/>
          <w:highlight w:val="none"/>
        </w:rPr>
        <w:t>%。</w:t>
      </w:r>
    </w:p>
    <w:p w14:paraId="10559470">
      <w:pPr>
        <w:widowControl/>
        <w:adjustRightInd w:val="0"/>
        <w:snapToGrid w:val="0"/>
        <w:spacing w:line="640" w:lineRule="exact"/>
        <w:ind w:firstLine="643" w:firstLineChars="200"/>
        <w:contextualSpacing/>
        <w:jc w:val="left"/>
        <w:rPr>
          <w:rFonts w:hint="eastAsia" w:ascii="仿宋_GB2312" w:hAnsi="仿宋" w:eastAsia="仿宋_GB2312"/>
          <w:sz w:val="32"/>
          <w:szCs w:val="32"/>
          <w:highlight w:val="none"/>
        </w:rPr>
      </w:pPr>
      <w:r>
        <w:rPr>
          <w:rFonts w:hint="eastAsia" w:ascii="仿宋_GB2312" w:hAnsi="仿宋" w:eastAsia="仿宋_GB2312"/>
          <w:b/>
          <w:sz w:val="32"/>
          <w:szCs w:val="32"/>
          <w:highlight w:val="none"/>
        </w:rPr>
        <w:t>2.绩效运行监控情况。</w:t>
      </w:r>
      <w:r>
        <w:rPr>
          <w:rFonts w:hint="eastAsia" w:ascii="仿宋_GB2312" w:hAnsi="仿宋" w:eastAsia="仿宋_GB2312"/>
          <w:sz w:val="32"/>
          <w:szCs w:val="32"/>
          <w:highlight w:val="none"/>
        </w:rPr>
        <w:t>202</w:t>
      </w:r>
      <w:r>
        <w:rPr>
          <w:rFonts w:hint="eastAsia" w:ascii="仿宋_GB2312" w:hAnsi="仿宋" w:eastAsia="仿宋_GB2312"/>
          <w:sz w:val="32"/>
          <w:szCs w:val="32"/>
          <w:highlight w:val="none"/>
          <w:lang w:val="en-US" w:eastAsia="zh-CN"/>
        </w:rPr>
        <w:t>4</w:t>
      </w:r>
      <w:r>
        <w:rPr>
          <w:rFonts w:hint="eastAsia" w:ascii="仿宋_GB2312" w:hAnsi="仿宋" w:eastAsia="仿宋_GB2312"/>
          <w:sz w:val="32"/>
          <w:szCs w:val="32"/>
          <w:highlight w:val="none"/>
        </w:rPr>
        <w:t>年7月，组织开展1-6月绩效运行监控项目</w:t>
      </w:r>
      <w:r>
        <w:rPr>
          <w:rFonts w:hint="eastAsia" w:ascii="仿宋_GB2312" w:hAnsi="仿宋" w:eastAsia="仿宋_GB2312"/>
          <w:sz w:val="32"/>
          <w:szCs w:val="32"/>
          <w:highlight w:val="none"/>
          <w:lang w:val="en-US" w:eastAsia="zh-CN"/>
        </w:rPr>
        <w:t>24</w:t>
      </w:r>
      <w:r>
        <w:rPr>
          <w:rFonts w:hint="eastAsia" w:ascii="仿宋_GB2312" w:hAnsi="仿宋" w:eastAsia="仿宋_GB2312"/>
          <w:sz w:val="32"/>
          <w:szCs w:val="32"/>
          <w:highlight w:val="none"/>
        </w:rPr>
        <w:t>个，占本</w:t>
      </w:r>
      <w:r>
        <w:rPr>
          <w:rFonts w:hint="eastAsia" w:ascii="仿宋_GB2312" w:hAnsi="CIDFont+F6" w:eastAsia="仿宋_GB2312"/>
          <w:color w:val="000000"/>
          <w:sz w:val="32"/>
          <w:szCs w:val="32"/>
          <w:highlight w:val="none"/>
        </w:rPr>
        <w:t>单位</w:t>
      </w:r>
      <w:r>
        <w:rPr>
          <w:rFonts w:hint="eastAsia" w:ascii="仿宋_GB2312" w:hAnsi="仿宋" w:eastAsia="仿宋_GB2312"/>
          <w:sz w:val="32"/>
          <w:szCs w:val="32"/>
          <w:highlight w:val="none"/>
        </w:rPr>
        <w:t>项目的</w:t>
      </w:r>
      <w:r>
        <w:rPr>
          <w:rFonts w:hint="eastAsia" w:ascii="仿宋_GB2312" w:hAnsi="仿宋" w:eastAsia="仿宋_GB2312"/>
          <w:sz w:val="32"/>
          <w:szCs w:val="32"/>
          <w:highlight w:val="none"/>
          <w:lang w:val="en-US" w:eastAsia="zh-CN"/>
        </w:rPr>
        <w:t>100</w:t>
      </w:r>
      <w:r>
        <w:rPr>
          <w:rFonts w:hint="eastAsia" w:ascii="仿宋_GB2312" w:hAnsi="仿宋" w:eastAsia="仿宋_GB2312"/>
          <w:sz w:val="32"/>
          <w:szCs w:val="32"/>
          <w:highlight w:val="none"/>
        </w:rPr>
        <w:t>%。截至7月底，如期完成预算执行和绩效目标指标值的项目</w:t>
      </w:r>
      <w:r>
        <w:rPr>
          <w:rFonts w:hint="eastAsia" w:ascii="仿宋_GB2312" w:hAnsi="仿宋" w:eastAsia="仿宋_GB2312"/>
          <w:sz w:val="32"/>
          <w:szCs w:val="32"/>
          <w:highlight w:val="none"/>
          <w:lang w:val="en-US" w:eastAsia="zh-CN"/>
        </w:rPr>
        <w:t>10</w:t>
      </w:r>
      <w:r>
        <w:rPr>
          <w:rFonts w:hint="eastAsia" w:ascii="仿宋_GB2312" w:hAnsi="仿宋" w:eastAsia="仿宋_GB2312"/>
          <w:sz w:val="32"/>
          <w:szCs w:val="32"/>
          <w:highlight w:val="none"/>
        </w:rPr>
        <w:t>个，完成率为</w:t>
      </w:r>
      <w:r>
        <w:rPr>
          <w:rFonts w:hint="eastAsia" w:ascii="仿宋_GB2312" w:hAnsi="仿宋" w:eastAsia="仿宋_GB2312"/>
          <w:sz w:val="32"/>
          <w:szCs w:val="32"/>
          <w:highlight w:val="none"/>
          <w:lang w:val="en-US" w:eastAsia="zh-CN"/>
        </w:rPr>
        <w:t>41.67</w:t>
      </w:r>
      <w:r>
        <w:rPr>
          <w:rFonts w:hint="eastAsia" w:ascii="仿宋_GB2312" w:hAnsi="仿宋" w:eastAsia="仿宋_GB2312"/>
          <w:sz w:val="32"/>
          <w:szCs w:val="32"/>
          <w:highlight w:val="none"/>
        </w:rPr>
        <w:t>%。开展1-9月绩效运行监控项目</w:t>
      </w:r>
      <w:r>
        <w:rPr>
          <w:rFonts w:hint="eastAsia" w:ascii="仿宋_GB2312" w:hAnsi="仿宋" w:eastAsia="仿宋_GB2312"/>
          <w:sz w:val="32"/>
          <w:szCs w:val="32"/>
          <w:highlight w:val="none"/>
          <w:lang w:val="en-US" w:eastAsia="zh-CN"/>
        </w:rPr>
        <w:t>24</w:t>
      </w:r>
      <w:r>
        <w:rPr>
          <w:rFonts w:hint="eastAsia" w:ascii="仿宋_GB2312" w:hAnsi="仿宋" w:eastAsia="仿宋_GB2312"/>
          <w:sz w:val="32"/>
          <w:szCs w:val="32"/>
          <w:highlight w:val="none"/>
        </w:rPr>
        <w:t>个，占本单位项目的</w:t>
      </w:r>
      <w:r>
        <w:rPr>
          <w:rFonts w:hint="eastAsia" w:ascii="仿宋_GB2312" w:hAnsi="仿宋" w:eastAsia="仿宋_GB2312"/>
          <w:sz w:val="32"/>
          <w:szCs w:val="32"/>
          <w:highlight w:val="none"/>
          <w:lang w:val="en-US" w:eastAsia="zh-CN"/>
        </w:rPr>
        <w:t>100</w:t>
      </w:r>
      <w:r>
        <w:rPr>
          <w:rFonts w:hint="eastAsia" w:ascii="仿宋_GB2312" w:hAnsi="仿宋" w:eastAsia="仿宋_GB2312"/>
          <w:sz w:val="32"/>
          <w:szCs w:val="32"/>
          <w:highlight w:val="none"/>
        </w:rPr>
        <w:t>%。截至10月底，如期完成预算执行和绩效目标指标值的项目</w:t>
      </w:r>
      <w:r>
        <w:rPr>
          <w:rFonts w:hint="eastAsia" w:ascii="仿宋_GB2312" w:hAnsi="仿宋" w:eastAsia="仿宋_GB2312"/>
          <w:sz w:val="32"/>
          <w:szCs w:val="32"/>
          <w:highlight w:val="none"/>
          <w:lang w:val="en-US" w:eastAsia="zh-CN"/>
        </w:rPr>
        <w:t>24</w:t>
      </w:r>
      <w:r>
        <w:rPr>
          <w:rFonts w:hint="eastAsia" w:ascii="仿宋_GB2312" w:hAnsi="仿宋" w:eastAsia="仿宋_GB2312"/>
          <w:sz w:val="32"/>
          <w:szCs w:val="32"/>
          <w:highlight w:val="none"/>
        </w:rPr>
        <w:t>个，完成率为</w:t>
      </w:r>
      <w:r>
        <w:rPr>
          <w:rFonts w:hint="eastAsia" w:ascii="仿宋_GB2312" w:hAnsi="仿宋" w:eastAsia="仿宋_GB2312"/>
          <w:sz w:val="32"/>
          <w:szCs w:val="32"/>
          <w:highlight w:val="none"/>
          <w:lang w:val="en-US" w:eastAsia="zh-CN"/>
        </w:rPr>
        <w:t>100</w:t>
      </w:r>
      <w:r>
        <w:rPr>
          <w:rFonts w:hint="eastAsia" w:ascii="仿宋_GB2312" w:hAnsi="仿宋" w:eastAsia="仿宋_GB2312"/>
          <w:sz w:val="32"/>
          <w:szCs w:val="32"/>
          <w:highlight w:val="none"/>
        </w:rPr>
        <w:t>%。</w:t>
      </w:r>
    </w:p>
    <w:p w14:paraId="14E01212">
      <w:pPr>
        <w:widowControl/>
        <w:adjustRightInd w:val="0"/>
        <w:snapToGrid w:val="0"/>
        <w:spacing w:line="640" w:lineRule="exact"/>
        <w:ind w:firstLine="643" w:firstLineChars="200"/>
        <w:contextualSpacing/>
        <w:jc w:val="left"/>
        <w:rPr>
          <w:rFonts w:ascii="仿宋_GB2312" w:hAnsi="仿宋" w:eastAsia="仿宋_GB2312"/>
          <w:sz w:val="32"/>
          <w:szCs w:val="32"/>
          <w:highlight w:val="none"/>
        </w:rPr>
      </w:pPr>
      <w:r>
        <w:rPr>
          <w:rFonts w:hint="eastAsia" w:ascii="仿宋_GB2312" w:hAnsi="仿宋" w:eastAsia="仿宋_GB2312"/>
          <w:b/>
          <w:sz w:val="32"/>
          <w:szCs w:val="32"/>
          <w:highlight w:val="none"/>
        </w:rPr>
        <w:t>3.绩效自评开展情况。</w:t>
      </w:r>
      <w:r>
        <w:rPr>
          <w:rFonts w:hint="eastAsia" w:ascii="仿宋_GB2312" w:hAnsi="仿宋" w:eastAsia="仿宋_GB2312"/>
          <w:sz w:val="32"/>
          <w:szCs w:val="32"/>
          <w:highlight w:val="none"/>
        </w:rPr>
        <w:t>202</w:t>
      </w:r>
      <w:r>
        <w:rPr>
          <w:rFonts w:hint="eastAsia" w:ascii="仿宋_GB2312" w:hAnsi="仿宋" w:eastAsia="仿宋_GB2312"/>
          <w:sz w:val="32"/>
          <w:szCs w:val="32"/>
          <w:highlight w:val="none"/>
          <w:lang w:val="en-US" w:eastAsia="zh-CN"/>
        </w:rPr>
        <w:t>4</w:t>
      </w:r>
      <w:r>
        <w:rPr>
          <w:rFonts w:hint="eastAsia" w:ascii="仿宋_GB2312" w:hAnsi="仿宋" w:eastAsia="仿宋_GB2312"/>
          <w:sz w:val="32"/>
          <w:szCs w:val="32"/>
          <w:highlight w:val="none"/>
        </w:rPr>
        <w:t>年度，组织开展绩效自评项目共</w:t>
      </w:r>
      <w:r>
        <w:rPr>
          <w:rFonts w:hint="eastAsia" w:ascii="仿宋_GB2312" w:hAnsi="仿宋" w:eastAsia="仿宋_GB2312"/>
          <w:sz w:val="32"/>
          <w:szCs w:val="32"/>
          <w:highlight w:val="none"/>
          <w:lang w:val="en-US" w:eastAsia="zh-CN"/>
        </w:rPr>
        <w:t>25</w:t>
      </w:r>
      <w:r>
        <w:rPr>
          <w:rFonts w:hint="eastAsia" w:ascii="仿宋_GB2312" w:hAnsi="仿宋" w:eastAsia="仿宋_GB2312"/>
          <w:sz w:val="32"/>
          <w:szCs w:val="32"/>
          <w:highlight w:val="none"/>
        </w:rPr>
        <w:t>个，其中，单位整体支出</w:t>
      </w:r>
      <w:r>
        <w:rPr>
          <w:rFonts w:hint="eastAsia" w:ascii="仿宋_GB2312" w:hAnsi="仿宋" w:eastAsia="仿宋_GB2312"/>
          <w:sz w:val="32"/>
          <w:szCs w:val="32"/>
          <w:highlight w:val="none"/>
          <w:lang w:val="en-US" w:eastAsia="zh-CN"/>
        </w:rPr>
        <w:t>1</w:t>
      </w:r>
      <w:r>
        <w:rPr>
          <w:rFonts w:hint="eastAsia" w:ascii="仿宋_GB2312" w:hAnsi="仿宋" w:eastAsia="仿宋_GB2312"/>
          <w:sz w:val="32"/>
          <w:szCs w:val="32"/>
          <w:highlight w:val="none"/>
        </w:rPr>
        <w:t>个，项目支出</w:t>
      </w:r>
      <w:r>
        <w:rPr>
          <w:rFonts w:hint="eastAsia" w:ascii="仿宋_GB2312" w:hAnsi="仿宋" w:eastAsia="仿宋_GB2312"/>
          <w:sz w:val="32"/>
          <w:szCs w:val="32"/>
          <w:highlight w:val="none"/>
          <w:lang w:val="en-US" w:eastAsia="zh-CN"/>
        </w:rPr>
        <w:t>24</w:t>
      </w:r>
      <w:r>
        <w:rPr>
          <w:rFonts w:hint="eastAsia" w:ascii="仿宋_GB2312" w:hAnsi="仿宋" w:eastAsia="仿宋_GB2312"/>
          <w:sz w:val="32"/>
          <w:szCs w:val="32"/>
          <w:highlight w:val="none"/>
        </w:rPr>
        <w:t>个，绩效自评覆盖率为</w:t>
      </w:r>
      <w:r>
        <w:rPr>
          <w:rFonts w:hint="eastAsia" w:ascii="仿宋_GB2312" w:hAnsi="仿宋" w:eastAsia="仿宋_GB2312"/>
          <w:sz w:val="32"/>
          <w:szCs w:val="32"/>
          <w:highlight w:val="none"/>
          <w:lang w:val="en-US" w:eastAsia="zh-CN"/>
        </w:rPr>
        <w:t>100</w:t>
      </w:r>
      <w:r>
        <w:rPr>
          <w:rFonts w:hint="eastAsia" w:ascii="仿宋_GB2312" w:hAnsi="仿宋" w:eastAsia="仿宋_GB2312"/>
          <w:sz w:val="32"/>
          <w:szCs w:val="32"/>
          <w:highlight w:val="none"/>
        </w:rPr>
        <w:t>%。绩效自评结果随部门决算报送财政和随决算公开情况。</w:t>
      </w:r>
    </w:p>
    <w:p w14:paraId="093ADCE3">
      <w:pPr>
        <w:widowControl/>
        <w:adjustRightInd w:val="0"/>
        <w:snapToGrid w:val="0"/>
        <w:spacing w:line="640" w:lineRule="exact"/>
        <w:ind w:firstLine="643" w:firstLineChars="200"/>
        <w:contextualSpacing/>
        <w:jc w:val="left"/>
        <w:rPr>
          <w:rFonts w:ascii="仿宋_GB2312" w:hAnsi="仿宋" w:eastAsia="仿宋_GB2312"/>
          <w:sz w:val="32"/>
          <w:szCs w:val="32"/>
          <w:highlight w:val="yellow"/>
        </w:rPr>
      </w:pPr>
      <w:r>
        <w:rPr>
          <w:rFonts w:hint="eastAsia" w:ascii="仿宋_GB2312" w:hAnsi="仿宋" w:eastAsia="仿宋_GB2312"/>
          <w:b/>
          <w:sz w:val="32"/>
          <w:szCs w:val="32"/>
          <w:highlight w:val="none"/>
        </w:rPr>
        <w:t>4.绩效结果应用情况。</w:t>
      </w:r>
      <w:r>
        <w:rPr>
          <w:rFonts w:hint="eastAsia" w:ascii="仿宋_GB2312" w:hAnsi="仿宋" w:eastAsia="仿宋_GB2312"/>
          <w:sz w:val="32"/>
          <w:szCs w:val="32"/>
          <w:highlight w:val="none"/>
        </w:rPr>
        <w:t>根据202</w:t>
      </w:r>
      <w:r>
        <w:rPr>
          <w:rFonts w:hint="eastAsia" w:ascii="仿宋_GB2312" w:hAnsi="仿宋" w:eastAsia="仿宋_GB2312"/>
          <w:sz w:val="32"/>
          <w:szCs w:val="32"/>
          <w:highlight w:val="none"/>
          <w:lang w:val="en-US" w:eastAsia="zh-CN"/>
        </w:rPr>
        <w:t>4</w:t>
      </w:r>
      <w:r>
        <w:rPr>
          <w:rFonts w:hint="eastAsia" w:ascii="仿宋_GB2312" w:hAnsi="仿宋" w:eastAsia="仿宋_GB2312"/>
          <w:sz w:val="32"/>
          <w:szCs w:val="32"/>
          <w:highlight w:val="none"/>
        </w:rPr>
        <w:t>年度绩效运行监控、绩效自评等情况，当年盘活财政资金</w:t>
      </w:r>
      <w:r>
        <w:rPr>
          <w:rFonts w:hint="eastAsia" w:ascii="仿宋_GB2312" w:hAnsi="仿宋" w:eastAsia="仿宋_GB2312"/>
          <w:sz w:val="32"/>
          <w:szCs w:val="32"/>
          <w:highlight w:val="none"/>
          <w:lang w:val="en-US" w:eastAsia="zh-CN"/>
        </w:rPr>
        <w:t>0</w:t>
      </w:r>
      <w:r>
        <w:rPr>
          <w:rFonts w:hint="eastAsia" w:ascii="仿宋_GB2312" w:hAnsi="仿宋" w:eastAsia="仿宋_GB2312"/>
          <w:sz w:val="32"/>
          <w:szCs w:val="32"/>
          <w:highlight w:val="none"/>
        </w:rPr>
        <w:t>万元。</w:t>
      </w:r>
    </w:p>
    <w:p w14:paraId="2FEB0B5C">
      <w:pPr>
        <w:adjustRightInd w:val="0"/>
        <w:snapToGrid w:val="0"/>
        <w:spacing w:line="640" w:lineRule="exact"/>
        <w:ind w:firstLine="643" w:firstLineChars="200"/>
        <w:contextualSpacing/>
        <w:rPr>
          <w:rFonts w:ascii="楷体_GB2312" w:hAnsi="楷体" w:eastAsia="楷体_GB2312" w:cs="宋体"/>
          <w:b/>
          <w:bCs/>
          <w:kern w:val="0"/>
          <w:sz w:val="32"/>
          <w:szCs w:val="32"/>
        </w:rPr>
      </w:pPr>
      <w:r>
        <w:rPr>
          <w:rFonts w:hint="eastAsia" w:ascii="楷体_GB2312" w:hAnsi="楷体" w:eastAsia="楷体_GB2312" w:cs="宋体"/>
          <w:b/>
          <w:bCs/>
          <w:kern w:val="0"/>
          <w:sz w:val="32"/>
          <w:szCs w:val="32"/>
        </w:rPr>
        <w:t>（二）202</w:t>
      </w:r>
      <w:r>
        <w:rPr>
          <w:rFonts w:hint="eastAsia" w:ascii="楷体_GB2312" w:hAnsi="楷体" w:eastAsia="楷体_GB2312" w:cs="宋体"/>
          <w:b/>
          <w:bCs/>
          <w:kern w:val="0"/>
          <w:sz w:val="32"/>
          <w:szCs w:val="32"/>
          <w:lang w:val="en-US" w:eastAsia="zh-CN"/>
        </w:rPr>
        <w:t>5</w:t>
      </w:r>
      <w:r>
        <w:rPr>
          <w:rFonts w:hint="eastAsia" w:ascii="楷体_GB2312" w:hAnsi="楷体" w:eastAsia="楷体_GB2312" w:cs="宋体"/>
          <w:b/>
          <w:bCs/>
          <w:kern w:val="0"/>
          <w:sz w:val="32"/>
          <w:szCs w:val="32"/>
        </w:rPr>
        <w:t>年绩效目标编制情况</w:t>
      </w:r>
    </w:p>
    <w:p w14:paraId="2DBCD341">
      <w:pPr>
        <w:widowControl/>
        <w:adjustRightInd w:val="0"/>
        <w:snapToGrid w:val="0"/>
        <w:spacing w:line="640" w:lineRule="exact"/>
        <w:ind w:firstLine="640" w:firstLineChars="200"/>
        <w:contextualSpacing/>
        <w:jc w:val="left"/>
        <w:rPr>
          <w:rFonts w:ascii="仿宋_GB2312" w:hAnsi="仿宋" w:eastAsia="仿宋_GB2312"/>
          <w:sz w:val="32"/>
          <w:szCs w:val="32"/>
        </w:rPr>
      </w:pPr>
      <w:r>
        <w:rPr>
          <w:rFonts w:hint="eastAsia" w:ascii="仿宋_GB2312" w:hAnsi="仿宋" w:eastAsia="仿宋_GB2312"/>
          <w:sz w:val="32"/>
          <w:szCs w:val="32"/>
        </w:rPr>
        <w:t>202</w:t>
      </w:r>
      <w:r>
        <w:rPr>
          <w:rFonts w:hint="eastAsia" w:ascii="仿宋_GB2312" w:hAnsi="仿宋" w:eastAsia="仿宋_GB2312"/>
          <w:sz w:val="32"/>
          <w:szCs w:val="32"/>
          <w:lang w:val="en-US" w:eastAsia="zh-CN"/>
        </w:rPr>
        <w:t>5</w:t>
      </w:r>
      <w:r>
        <w:rPr>
          <w:rFonts w:hint="eastAsia" w:ascii="仿宋_GB2312" w:hAnsi="仿宋" w:eastAsia="仿宋_GB2312"/>
          <w:sz w:val="32"/>
          <w:szCs w:val="32"/>
        </w:rPr>
        <w:t>年，纳入单位预算绩效目标管理的项目</w:t>
      </w:r>
      <w:r>
        <w:rPr>
          <w:rFonts w:hint="eastAsia" w:ascii="仿宋_GB2312" w:hAnsi="仿宋" w:eastAsia="仿宋_GB2312"/>
          <w:sz w:val="32"/>
          <w:szCs w:val="32"/>
          <w:lang w:val="en-US" w:eastAsia="zh-CN"/>
        </w:rPr>
        <w:t>16</w:t>
      </w:r>
      <w:r>
        <w:rPr>
          <w:rFonts w:hint="eastAsia" w:ascii="仿宋_GB2312" w:hAnsi="仿宋" w:eastAsia="仿宋_GB2312"/>
          <w:sz w:val="32"/>
          <w:szCs w:val="32"/>
        </w:rPr>
        <w:t>个。其中，部门整体支出绩效目标围绕部门管理、履职效果、能力建设三个维度，设置二级指标</w:t>
      </w:r>
      <w:r>
        <w:rPr>
          <w:rFonts w:hint="eastAsia" w:ascii="仿宋_GB2312" w:hAnsi="仿宋" w:eastAsia="仿宋_GB2312"/>
          <w:sz w:val="32"/>
          <w:szCs w:val="32"/>
          <w:lang w:val="en-US" w:eastAsia="zh-CN"/>
        </w:rPr>
        <w:t>5</w:t>
      </w:r>
      <w:r>
        <w:rPr>
          <w:rFonts w:hint="eastAsia" w:ascii="仿宋_GB2312" w:hAnsi="仿宋" w:eastAsia="仿宋_GB2312"/>
          <w:sz w:val="32"/>
          <w:szCs w:val="32"/>
        </w:rPr>
        <w:t>个、三级指标</w:t>
      </w:r>
      <w:r>
        <w:rPr>
          <w:rFonts w:hint="eastAsia" w:ascii="仿宋_GB2312" w:hAnsi="仿宋" w:eastAsia="仿宋_GB2312"/>
          <w:sz w:val="32"/>
          <w:szCs w:val="32"/>
          <w:lang w:val="en-US" w:eastAsia="zh-CN"/>
        </w:rPr>
        <w:t>10</w:t>
      </w:r>
      <w:r>
        <w:rPr>
          <w:rFonts w:hint="eastAsia" w:ascii="仿宋_GB2312" w:hAnsi="仿宋" w:eastAsia="仿宋_GB2312"/>
          <w:sz w:val="32"/>
          <w:szCs w:val="32"/>
        </w:rPr>
        <w:t>个；项目支出绩效目标围绕成本指标、产出指标、效益指标、满意度指标四个维度，设置二级指标</w:t>
      </w:r>
      <w:r>
        <w:rPr>
          <w:rFonts w:hint="eastAsia" w:ascii="仿宋_GB2312" w:hAnsi="仿宋" w:eastAsia="仿宋_GB2312"/>
          <w:sz w:val="32"/>
          <w:szCs w:val="32"/>
          <w:lang w:val="en-US" w:eastAsia="zh-CN"/>
        </w:rPr>
        <w:t>4</w:t>
      </w:r>
      <w:r>
        <w:rPr>
          <w:rFonts w:hint="eastAsia" w:ascii="仿宋_GB2312" w:hAnsi="仿宋" w:eastAsia="仿宋_GB2312"/>
          <w:sz w:val="32"/>
          <w:szCs w:val="32"/>
        </w:rPr>
        <w:t>个、三级指标</w:t>
      </w:r>
      <w:r>
        <w:rPr>
          <w:rFonts w:hint="eastAsia" w:ascii="仿宋_GB2312" w:hAnsi="仿宋" w:eastAsia="仿宋_GB2312"/>
          <w:sz w:val="32"/>
          <w:szCs w:val="32"/>
          <w:lang w:val="en-US" w:eastAsia="zh-CN"/>
        </w:rPr>
        <w:t>4</w:t>
      </w:r>
      <w:r>
        <w:rPr>
          <w:rFonts w:hint="eastAsia" w:ascii="仿宋_GB2312" w:hAnsi="仿宋" w:eastAsia="仿宋_GB2312"/>
          <w:sz w:val="32"/>
          <w:szCs w:val="32"/>
        </w:rPr>
        <w:t>个。各项绩效目标内容指向明确、细化量化、合理可行，符合规定的格式要求。</w:t>
      </w:r>
    </w:p>
    <w:p w14:paraId="7B812D1D">
      <w:pPr>
        <w:adjustRightInd w:val="0"/>
        <w:snapToGrid w:val="0"/>
        <w:spacing w:line="640" w:lineRule="exact"/>
        <w:ind w:firstLine="643" w:firstLineChars="200"/>
        <w:contextualSpacing/>
        <w:rPr>
          <w:rFonts w:ascii="楷体_GB2312" w:hAnsi="楷体" w:eastAsia="楷体_GB2312" w:cs="宋体"/>
          <w:b/>
          <w:bCs/>
          <w:kern w:val="0"/>
          <w:sz w:val="32"/>
          <w:szCs w:val="32"/>
        </w:rPr>
      </w:pPr>
      <w:r>
        <w:rPr>
          <w:rFonts w:hint="eastAsia" w:ascii="楷体_GB2312" w:hAnsi="楷体" w:eastAsia="楷体_GB2312" w:cs="宋体"/>
          <w:b/>
          <w:bCs/>
          <w:kern w:val="0"/>
          <w:sz w:val="32"/>
          <w:szCs w:val="32"/>
        </w:rPr>
        <w:t>十一、名词解释</w:t>
      </w:r>
    </w:p>
    <w:p w14:paraId="6FF3A18A">
      <w:pPr>
        <w:adjustRightInd w:val="0"/>
        <w:snapToGrid w:val="0"/>
        <w:spacing w:line="640" w:lineRule="exact"/>
        <w:ind w:firstLine="643" w:firstLineChars="200"/>
        <w:contextualSpacing/>
        <w:rPr>
          <w:rFonts w:hint="eastAsia" w:ascii="仿宋_GB2312" w:hAnsi="CIDFont+F6" w:eastAsia="仿宋_GB2312"/>
          <w:color w:val="000000"/>
          <w:sz w:val="32"/>
          <w:szCs w:val="32"/>
        </w:rPr>
      </w:pPr>
      <w:r>
        <w:rPr>
          <w:rFonts w:hint="eastAsia" w:ascii="仿宋_GB2312" w:hAnsi="CIDFont+F4" w:eastAsia="仿宋_GB2312"/>
          <w:b/>
          <w:color w:val="000000"/>
          <w:sz w:val="32"/>
          <w:szCs w:val="32"/>
        </w:rPr>
        <w:t>1、财政拨款</w:t>
      </w:r>
      <w:r>
        <w:rPr>
          <w:rFonts w:hint="eastAsia" w:ascii="仿宋_GB2312" w:hAnsi="CIDFont+F4" w:eastAsia="仿宋_GB2312"/>
          <w:b/>
          <w:color w:val="000000"/>
          <w:sz w:val="32"/>
          <w:szCs w:val="32"/>
          <w:lang w:eastAsia="zh-CN"/>
        </w:rPr>
        <w:t>：</w:t>
      </w:r>
      <w:r>
        <w:rPr>
          <w:rFonts w:hint="eastAsia" w:ascii="仿宋_GB2312" w:hAnsi="CIDFont+F6" w:eastAsia="仿宋_GB2312"/>
          <w:color w:val="000000"/>
          <w:sz w:val="32"/>
          <w:szCs w:val="32"/>
        </w:rPr>
        <w:t>指由一般公共预算、政府性基金预算、国有资本经营预算安排的财政拨款数。</w:t>
      </w:r>
    </w:p>
    <w:p w14:paraId="4176AFA6">
      <w:pPr>
        <w:adjustRightInd w:val="0"/>
        <w:snapToGrid w:val="0"/>
        <w:spacing w:line="640" w:lineRule="exact"/>
        <w:ind w:firstLine="643" w:firstLineChars="200"/>
        <w:contextualSpacing/>
        <w:rPr>
          <w:rFonts w:hint="eastAsia" w:ascii="仿宋_GB2312" w:hAnsi="CIDFont+F6" w:eastAsia="仿宋_GB2312"/>
          <w:color w:val="000000"/>
          <w:sz w:val="32"/>
          <w:szCs w:val="32"/>
        </w:rPr>
      </w:pPr>
      <w:r>
        <w:rPr>
          <w:rFonts w:hint="eastAsia" w:ascii="仿宋_GB2312" w:hAnsi="CIDFont+F4" w:eastAsia="仿宋_GB2312"/>
          <w:b/>
          <w:color w:val="000000"/>
          <w:sz w:val="32"/>
          <w:szCs w:val="32"/>
        </w:rPr>
        <w:t>2、一般公共预算</w:t>
      </w:r>
      <w:r>
        <w:rPr>
          <w:rFonts w:hint="eastAsia" w:ascii="仿宋_GB2312" w:hAnsi="CIDFont+F4" w:eastAsia="仿宋_GB2312"/>
          <w:b/>
          <w:color w:val="000000"/>
          <w:sz w:val="32"/>
          <w:szCs w:val="32"/>
          <w:lang w:eastAsia="zh-CN"/>
        </w:rPr>
        <w:t>：</w:t>
      </w:r>
      <w:r>
        <w:rPr>
          <w:rFonts w:hint="eastAsia" w:ascii="仿宋_GB2312" w:hAnsi="CIDFont+F6" w:eastAsia="仿宋_GB2312"/>
          <w:color w:val="000000"/>
          <w:sz w:val="32"/>
          <w:szCs w:val="32"/>
        </w:rPr>
        <w:t>包括公共财政拨款（补助）资金、专项收入。</w:t>
      </w:r>
    </w:p>
    <w:p w14:paraId="4EC9D189">
      <w:pPr>
        <w:adjustRightInd w:val="0"/>
        <w:snapToGrid w:val="0"/>
        <w:spacing w:line="640" w:lineRule="exact"/>
        <w:ind w:firstLine="643" w:firstLineChars="200"/>
        <w:contextualSpacing/>
        <w:rPr>
          <w:rFonts w:hint="eastAsia" w:ascii="仿宋_GB2312" w:hAnsi="CIDFont+F6" w:eastAsia="仿宋_GB2312"/>
          <w:color w:val="000000"/>
          <w:sz w:val="32"/>
          <w:szCs w:val="32"/>
        </w:rPr>
      </w:pPr>
      <w:r>
        <w:rPr>
          <w:rFonts w:hint="eastAsia" w:ascii="仿宋_GB2312" w:hAnsi="CIDFont+F4" w:eastAsia="仿宋_GB2312"/>
          <w:b/>
          <w:color w:val="000000"/>
          <w:sz w:val="32"/>
          <w:szCs w:val="32"/>
        </w:rPr>
        <w:t>3、财政专户管理资金</w:t>
      </w:r>
      <w:r>
        <w:rPr>
          <w:rFonts w:hint="eastAsia" w:ascii="仿宋_GB2312" w:hAnsi="CIDFont+F4" w:eastAsia="仿宋_GB2312"/>
          <w:b/>
          <w:color w:val="000000"/>
          <w:sz w:val="32"/>
          <w:szCs w:val="32"/>
          <w:lang w:eastAsia="zh-CN"/>
        </w:rPr>
        <w:t>：</w:t>
      </w:r>
      <w:r>
        <w:rPr>
          <w:rFonts w:hint="eastAsia" w:ascii="仿宋_GB2312" w:hAnsi="CIDFont+F6" w:eastAsia="仿宋_GB2312"/>
          <w:color w:val="000000"/>
          <w:sz w:val="32"/>
          <w:szCs w:val="32"/>
        </w:rPr>
        <w:t>包括专户管理行政事业性收费（主要是教育收费）、其他非税收入。</w:t>
      </w:r>
    </w:p>
    <w:p w14:paraId="75581400">
      <w:pPr>
        <w:adjustRightInd w:val="0"/>
        <w:snapToGrid w:val="0"/>
        <w:spacing w:line="640" w:lineRule="exact"/>
        <w:ind w:firstLine="643" w:firstLineChars="200"/>
        <w:contextualSpacing/>
        <w:rPr>
          <w:rFonts w:hint="eastAsia" w:ascii="仿宋_GB2312" w:hAnsi="CIDFont+F6" w:eastAsia="仿宋_GB2312"/>
          <w:color w:val="000000"/>
          <w:sz w:val="32"/>
          <w:szCs w:val="32"/>
        </w:rPr>
      </w:pPr>
      <w:r>
        <w:rPr>
          <w:rFonts w:hint="eastAsia" w:ascii="仿宋_GB2312" w:hAnsi="CIDFont+F4" w:eastAsia="仿宋_GB2312"/>
          <w:b/>
          <w:color w:val="000000"/>
          <w:sz w:val="32"/>
          <w:szCs w:val="32"/>
        </w:rPr>
        <w:t>4、其他资金</w:t>
      </w:r>
      <w:r>
        <w:rPr>
          <w:rFonts w:hint="eastAsia" w:ascii="仿宋_GB2312" w:hAnsi="CIDFont+F4" w:eastAsia="仿宋_GB2312"/>
          <w:b/>
          <w:color w:val="000000"/>
          <w:sz w:val="32"/>
          <w:szCs w:val="32"/>
          <w:lang w:eastAsia="zh-CN"/>
        </w:rPr>
        <w:t>：</w:t>
      </w:r>
      <w:r>
        <w:rPr>
          <w:rFonts w:hint="eastAsia" w:ascii="仿宋_GB2312" w:hAnsi="CIDFont+F6" w:eastAsia="仿宋_GB2312"/>
          <w:color w:val="000000"/>
          <w:sz w:val="32"/>
          <w:szCs w:val="32"/>
        </w:rPr>
        <w:t>包括事业收入、事业经营收入、其他收入等。</w:t>
      </w:r>
    </w:p>
    <w:p w14:paraId="079A2FD1">
      <w:pPr>
        <w:adjustRightInd w:val="0"/>
        <w:snapToGrid w:val="0"/>
        <w:spacing w:line="640" w:lineRule="exact"/>
        <w:ind w:firstLine="643" w:firstLineChars="200"/>
        <w:contextualSpacing/>
        <w:rPr>
          <w:rFonts w:hint="eastAsia" w:ascii="仿宋_GB2312" w:hAnsi="CIDFont+F6" w:eastAsia="仿宋_GB2312"/>
          <w:color w:val="000000"/>
          <w:sz w:val="32"/>
          <w:szCs w:val="32"/>
        </w:rPr>
      </w:pPr>
      <w:r>
        <w:rPr>
          <w:rFonts w:hint="eastAsia" w:ascii="仿宋_GB2312" w:hAnsi="CIDFont+F4" w:eastAsia="仿宋_GB2312"/>
          <w:b/>
          <w:color w:val="000000"/>
          <w:sz w:val="32"/>
          <w:szCs w:val="32"/>
        </w:rPr>
        <w:t>5、基本支出</w:t>
      </w:r>
      <w:r>
        <w:rPr>
          <w:rFonts w:hint="eastAsia" w:ascii="仿宋_GB2312" w:hAnsi="CIDFont+F4" w:eastAsia="仿宋_GB2312"/>
          <w:b/>
          <w:color w:val="000000"/>
          <w:sz w:val="32"/>
          <w:szCs w:val="32"/>
          <w:lang w:eastAsia="zh-CN"/>
        </w:rPr>
        <w:t>：</w:t>
      </w:r>
      <w:r>
        <w:rPr>
          <w:rFonts w:hint="eastAsia" w:ascii="仿宋_GB2312" w:hAnsi="CIDFont+F6" w:eastAsia="仿宋_GB2312"/>
          <w:color w:val="000000"/>
          <w:sz w:val="32"/>
          <w:szCs w:val="32"/>
        </w:rPr>
        <w:t>包括人员经费、公用经费（定额）。其中，人员经费包括工资福利支出、对个人和家庭的补助。</w:t>
      </w:r>
    </w:p>
    <w:p w14:paraId="64244ACB">
      <w:pPr>
        <w:adjustRightInd w:val="0"/>
        <w:snapToGrid w:val="0"/>
        <w:spacing w:line="640" w:lineRule="exact"/>
        <w:ind w:firstLine="643" w:firstLineChars="200"/>
        <w:contextualSpacing/>
        <w:rPr>
          <w:rFonts w:hint="eastAsia" w:ascii="仿宋_GB2312" w:hAnsi="CIDFont+F6" w:eastAsia="仿宋_GB2312"/>
          <w:color w:val="000000"/>
          <w:sz w:val="32"/>
          <w:szCs w:val="32"/>
        </w:rPr>
      </w:pPr>
      <w:r>
        <w:rPr>
          <w:rFonts w:hint="eastAsia" w:ascii="仿宋_GB2312" w:hAnsi="CIDFont+F4" w:eastAsia="仿宋_GB2312"/>
          <w:b/>
          <w:color w:val="000000"/>
          <w:sz w:val="32"/>
          <w:szCs w:val="32"/>
        </w:rPr>
        <w:t>6、项目支出</w:t>
      </w:r>
      <w:r>
        <w:rPr>
          <w:rFonts w:hint="eastAsia" w:ascii="仿宋_GB2312" w:hAnsi="CIDFont+F4" w:eastAsia="仿宋_GB2312"/>
          <w:b/>
          <w:color w:val="000000"/>
          <w:sz w:val="32"/>
          <w:szCs w:val="32"/>
          <w:lang w:eastAsia="zh-CN"/>
        </w:rPr>
        <w:t>：</w:t>
      </w:r>
      <w:r>
        <w:rPr>
          <w:rFonts w:hint="eastAsia" w:ascii="仿宋_GB2312" w:hAnsi="CIDFont+F6" w:eastAsia="仿宋_GB2312"/>
          <w:color w:val="000000"/>
          <w:sz w:val="32"/>
          <w:szCs w:val="32"/>
        </w:rPr>
        <w:t>部门（单位）支出预算的组成部分，是各部门（单位）为完成其特定的行政任务或事业发展目标，在基本支出预算之外编制的年度项目支出计划。</w:t>
      </w:r>
    </w:p>
    <w:p w14:paraId="3439CDFC">
      <w:pPr>
        <w:adjustRightInd w:val="0"/>
        <w:snapToGrid w:val="0"/>
        <w:spacing w:line="640" w:lineRule="exact"/>
        <w:ind w:firstLine="643" w:firstLineChars="200"/>
        <w:contextualSpacing/>
        <w:rPr>
          <w:rFonts w:hint="eastAsia" w:ascii="仿宋_GB2312" w:hAnsi="CIDFont+F6" w:eastAsia="仿宋_GB2312"/>
          <w:color w:val="000000"/>
          <w:sz w:val="32"/>
          <w:szCs w:val="32"/>
        </w:rPr>
      </w:pPr>
      <w:r>
        <w:rPr>
          <w:rFonts w:hint="eastAsia" w:ascii="仿宋_GB2312" w:hAnsi="CIDFont+F4" w:eastAsia="仿宋_GB2312"/>
          <w:b/>
          <w:color w:val="000000"/>
          <w:sz w:val="32"/>
          <w:szCs w:val="32"/>
        </w:rPr>
        <w:t>7、“三公”经费</w:t>
      </w:r>
      <w:r>
        <w:rPr>
          <w:rFonts w:hint="eastAsia" w:ascii="仿宋_GB2312" w:hAnsi="CIDFont+F4" w:eastAsia="仿宋_GB2312"/>
          <w:b/>
          <w:color w:val="000000"/>
          <w:sz w:val="32"/>
          <w:szCs w:val="32"/>
          <w:lang w:eastAsia="zh-CN"/>
        </w:rPr>
        <w:t>：</w:t>
      </w:r>
      <w:r>
        <w:rPr>
          <w:rFonts w:hint="eastAsia" w:ascii="仿宋_GB2312" w:hAnsi="CIDFont+F6" w:eastAsia="仿宋_GB2312"/>
          <w:color w:val="000000"/>
          <w:sz w:val="32"/>
          <w:szCs w:val="32"/>
        </w:rPr>
        <w:t>指因公出国（境）费、公务用车购置及运行维护费和公务接待费。其中，因公出国（境）费反映单位公务出国（境）的国际旅费、国外城市间交通费、住宿费、伙食费、培训费、公杂费等支出；公务用车运行维护费反映单位按规定保留的公务用车租用费、燃料费、维修费、过路过桥费、保险费、安全奖励费用等支出；公务接待费反映单位按规定开支的各类公务接待（含外宾接待）支出。</w:t>
      </w:r>
    </w:p>
    <w:p w14:paraId="6BA800C0">
      <w:pPr>
        <w:tabs>
          <w:tab w:val="left" w:pos="1662"/>
        </w:tabs>
        <w:bidi w:val="0"/>
        <w:jc w:val="left"/>
        <w:rPr>
          <w:lang w:val="en-US" w:eastAsia="zh-CN"/>
        </w:rPr>
      </w:pPr>
      <w:r>
        <w:rPr>
          <w:rFonts w:hint="eastAsia" w:ascii="仿宋_GB2312" w:hAnsi="CIDFont+F4" w:eastAsia="仿宋_GB2312"/>
          <w:b/>
          <w:color w:val="000000"/>
          <w:sz w:val="32"/>
          <w:szCs w:val="32"/>
        </w:rPr>
        <w:t>8、机关运行经费</w:t>
      </w:r>
      <w:r>
        <w:rPr>
          <w:rFonts w:hint="eastAsia" w:ascii="仿宋_GB2312" w:hAnsi="CIDFont+F4" w:eastAsia="仿宋_GB2312"/>
          <w:b/>
          <w:color w:val="000000"/>
          <w:sz w:val="32"/>
          <w:szCs w:val="32"/>
          <w:lang w:eastAsia="zh-CN"/>
        </w:rPr>
        <w:t>：</w:t>
      </w:r>
      <w:r>
        <w:rPr>
          <w:rFonts w:hint="eastAsia" w:ascii="仿宋_GB2312" w:hAnsi="CIDFont+F6" w:eastAsia="仿宋_GB2312"/>
          <w:color w:val="000000"/>
          <w:sz w:val="32"/>
          <w:szCs w:val="32"/>
        </w:rPr>
        <w:t>为保障行政单位（包括实行公务员管理的事业单位）运行用于购买货物和服务的各项资金，包括办公及印刷费、邮电费、差旅费、会议费、福利费、日常维修费、一般设备购置费、办公用房水电费、办公用房取暖费、办公用房物业管理费、公务用车运行维护费以及其他费</w:t>
      </w:r>
      <w:r>
        <w:rPr>
          <w:rFonts w:hint="eastAsia" w:ascii="仿宋_GB2312" w:hAnsi="CIDFont+F6" w:eastAsia="仿宋_GB2312"/>
          <w:color w:val="000000"/>
          <w:sz w:val="32"/>
          <w:szCs w:val="32"/>
          <w:lang w:eastAsia="zh-CN"/>
        </w:rPr>
        <w:t>用</w:t>
      </w:r>
      <w:r>
        <w:rPr>
          <w:rFonts w:hint="eastAsia" w:ascii="仿宋_GB2312" w:hAnsi="CIDFont+F6" w:eastAsia="仿宋_GB2312"/>
          <w:color w:val="000000"/>
          <w:sz w:val="32"/>
          <w:szCs w:val="32"/>
        </w:rPr>
        <w:t>。</w:t>
      </w:r>
      <w:bookmarkStart w:id="1" w:name="_GoBack"/>
      <w:bookmarkEnd w:id="1"/>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55D376E-F651-4ACE-8E54-B2EF89C1BBBA}"/>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ACA04C0F-2B65-471F-A3D4-08FE2DB2E347}"/>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embedRegular r:id="rId3" w:fontKey="{618A4363-C6A0-424A-9F6E-7329B425B490}"/>
  </w:font>
  <w:font w:name="TimesNewRomanPSMT">
    <w:altName w:val="Times New Roman"/>
    <w:panose1 w:val="00000000000000000000"/>
    <w:charset w:val="00"/>
    <w:family w:val="roman"/>
    <w:pitch w:val="default"/>
    <w:sig w:usb0="00000000" w:usb1="00000000" w:usb2="00000000" w:usb3="00000000" w:csb0="00000000" w:csb1="00000000"/>
    <w:embedRegular r:id="rId4" w:fontKey="{F35B8C07-85F7-4E71-8E9A-B31CC8BE9B68}"/>
  </w:font>
  <w:font w:name="仿宋">
    <w:panose1 w:val="02010609060101010101"/>
    <w:charset w:val="86"/>
    <w:family w:val="modern"/>
    <w:pitch w:val="default"/>
    <w:sig w:usb0="800002BF" w:usb1="38CF7CFA" w:usb2="00000016" w:usb3="00000000" w:csb0="00040001" w:csb1="00000000"/>
    <w:embedRegular r:id="rId5" w:fontKey="{C94195B3-F889-41DF-9704-E67BEFEE80D9}"/>
  </w:font>
  <w:font w:name="楷体_GB2312">
    <w:panose1 w:val="02010609030101010101"/>
    <w:charset w:val="86"/>
    <w:family w:val="modern"/>
    <w:pitch w:val="default"/>
    <w:sig w:usb0="00000001" w:usb1="080E0000" w:usb2="00000000" w:usb3="00000000" w:csb0="00040000" w:csb1="00000000"/>
    <w:embedRegular r:id="rId6" w:fontKey="{B44AE438-4224-4E39-BA21-DD1617CB9A29}"/>
  </w:font>
  <w:font w:name="楷体">
    <w:panose1 w:val="02010609060101010101"/>
    <w:charset w:val="86"/>
    <w:family w:val="modern"/>
    <w:pitch w:val="default"/>
    <w:sig w:usb0="800002BF" w:usb1="38CF7CFA" w:usb2="00000016" w:usb3="00000000" w:csb0="00040001" w:csb1="00000000"/>
    <w:embedRegular r:id="rId7" w:fontKey="{BD731F4F-16B2-4EB9-BD60-072493F39156}"/>
  </w:font>
  <w:font w:name="微软雅黑">
    <w:panose1 w:val="020B0503020204020204"/>
    <w:charset w:val="86"/>
    <w:family w:val="swiss"/>
    <w:pitch w:val="default"/>
    <w:sig w:usb0="80000287" w:usb1="280F3C52" w:usb2="00000016" w:usb3="00000000" w:csb0="0004001F" w:csb1="00000000"/>
    <w:embedRegular r:id="rId8" w:fontKey="{FB27404A-2C4C-4A44-A138-64B47710D18E}"/>
  </w:font>
  <w:font w:name="方正仿宋_GB2312">
    <w:panose1 w:val="02000000000000000000"/>
    <w:charset w:val="86"/>
    <w:family w:val="auto"/>
    <w:pitch w:val="default"/>
    <w:sig w:usb0="A00002BF" w:usb1="184F6CFA" w:usb2="00000012" w:usb3="00000000" w:csb0="00040001" w:csb1="00000000"/>
    <w:embedRegular r:id="rId9" w:fontKey="{0F6888B3-BEAF-4C45-9F98-64FFFC41A600}"/>
  </w:font>
  <w:font w:name="TimesNewRomanPS-BoldMT">
    <w:altName w:val="Times New Roman"/>
    <w:panose1 w:val="00000000000000000000"/>
    <w:charset w:val="00"/>
    <w:family w:val="roman"/>
    <w:pitch w:val="default"/>
    <w:sig w:usb0="00000000" w:usb1="00000000" w:usb2="00000000" w:usb3="00000000" w:csb0="00000000" w:csb1="00000000"/>
    <w:embedRegular r:id="rId10" w:fontKey="{849A67EC-A80C-41E5-A4CA-E0CCE7275F38}"/>
  </w:font>
  <w:font w:name="CIDFont+F6">
    <w:altName w:val="Times New Roman"/>
    <w:panose1 w:val="00000000000000000000"/>
    <w:charset w:val="00"/>
    <w:family w:val="roman"/>
    <w:pitch w:val="default"/>
    <w:sig w:usb0="00000000" w:usb1="00000000" w:usb2="00000000" w:usb3="00000000" w:csb0="00000000" w:csb1="00000000"/>
    <w:embedRegular r:id="rId11" w:fontKey="{19919B90-4FB4-4FDB-BA37-864A79971DAF}"/>
  </w:font>
  <w:font w:name="CIDFont+F4">
    <w:altName w:val="Times New Roman"/>
    <w:panose1 w:val="00000000000000000000"/>
    <w:charset w:val="00"/>
    <w:family w:val="roman"/>
    <w:pitch w:val="default"/>
    <w:sig w:usb0="00000000" w:usb1="00000000" w:usb2="00000000" w:usb3="00000000" w:csb0="00000000" w:csb1="00000000"/>
    <w:embedRegular r:id="rId12" w:fontKey="{AB815CC9-CB64-40DA-921F-4CDE8281155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F31378">
    <w:pPr>
      <w:pStyle w:val="5"/>
      <w:jc w:val="center"/>
    </w:pPr>
  </w:p>
  <w:p w14:paraId="5BA5D43B">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5F9087">
    <w:pPr>
      <w:pStyle w:val="5"/>
      <w:jc w:val="center"/>
    </w:pPr>
    <w:r>
      <w:fldChar w:fldCharType="begin"/>
    </w:r>
    <w:r>
      <w:instrText xml:space="preserve">PAGE   \* MERGEFORMAT</w:instrText>
    </w:r>
    <w:r>
      <w:fldChar w:fldCharType="separate"/>
    </w:r>
    <w:r>
      <w:rPr>
        <w:lang w:val="zh-CN"/>
      </w:rPr>
      <w:t>27</w:t>
    </w:r>
    <w:r>
      <w:fldChar w:fldCharType="end"/>
    </w:r>
  </w:p>
  <w:p w14:paraId="74F48896">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9D9E5B"/>
    <w:multiLevelType w:val="singleLevel"/>
    <w:tmpl w:val="029D9E5B"/>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Q4MTY1YWZiOTRlMzJmZWI1YWMyN2JjYmZhNjhjODMifQ=="/>
  </w:docVars>
  <w:rsids>
    <w:rsidRoot w:val="00FB4362"/>
    <w:rsid w:val="00000C55"/>
    <w:rsid w:val="00001446"/>
    <w:rsid w:val="0001130C"/>
    <w:rsid w:val="00011F27"/>
    <w:rsid w:val="00012457"/>
    <w:rsid w:val="00021BBF"/>
    <w:rsid w:val="00030443"/>
    <w:rsid w:val="00030F4C"/>
    <w:rsid w:val="0003278A"/>
    <w:rsid w:val="000368FE"/>
    <w:rsid w:val="00042A06"/>
    <w:rsid w:val="00043601"/>
    <w:rsid w:val="000442B5"/>
    <w:rsid w:val="0004639D"/>
    <w:rsid w:val="000465E2"/>
    <w:rsid w:val="0005161F"/>
    <w:rsid w:val="000547D1"/>
    <w:rsid w:val="00055759"/>
    <w:rsid w:val="000612EE"/>
    <w:rsid w:val="00061BAF"/>
    <w:rsid w:val="0006337D"/>
    <w:rsid w:val="00074626"/>
    <w:rsid w:val="00076B62"/>
    <w:rsid w:val="00082093"/>
    <w:rsid w:val="000861D5"/>
    <w:rsid w:val="0009273A"/>
    <w:rsid w:val="000A20A7"/>
    <w:rsid w:val="000A655B"/>
    <w:rsid w:val="000B54DD"/>
    <w:rsid w:val="000C2055"/>
    <w:rsid w:val="000C2B7F"/>
    <w:rsid w:val="000C37BE"/>
    <w:rsid w:val="000C4C50"/>
    <w:rsid w:val="000D0130"/>
    <w:rsid w:val="000D2EEE"/>
    <w:rsid w:val="000D2F19"/>
    <w:rsid w:val="000E0CEA"/>
    <w:rsid w:val="000F3CBF"/>
    <w:rsid w:val="000F3F42"/>
    <w:rsid w:val="000F473D"/>
    <w:rsid w:val="001017F3"/>
    <w:rsid w:val="0011297B"/>
    <w:rsid w:val="00123768"/>
    <w:rsid w:val="00126B08"/>
    <w:rsid w:val="001272E5"/>
    <w:rsid w:val="00127D01"/>
    <w:rsid w:val="00130F5F"/>
    <w:rsid w:val="001374F5"/>
    <w:rsid w:val="00152FDC"/>
    <w:rsid w:val="001561FD"/>
    <w:rsid w:val="0015647B"/>
    <w:rsid w:val="00156619"/>
    <w:rsid w:val="00156C8B"/>
    <w:rsid w:val="00160A8C"/>
    <w:rsid w:val="001700B4"/>
    <w:rsid w:val="00171070"/>
    <w:rsid w:val="001A416A"/>
    <w:rsid w:val="001A6118"/>
    <w:rsid w:val="001B0364"/>
    <w:rsid w:val="001B0B8E"/>
    <w:rsid w:val="001B342F"/>
    <w:rsid w:val="001C1259"/>
    <w:rsid w:val="001D1DA7"/>
    <w:rsid w:val="001E17E4"/>
    <w:rsid w:val="001E2410"/>
    <w:rsid w:val="001E347C"/>
    <w:rsid w:val="001E6110"/>
    <w:rsid w:val="001F3C4D"/>
    <w:rsid w:val="002033EA"/>
    <w:rsid w:val="00214046"/>
    <w:rsid w:val="0022561F"/>
    <w:rsid w:val="00232DBE"/>
    <w:rsid w:val="002355E7"/>
    <w:rsid w:val="00235F73"/>
    <w:rsid w:val="0023681E"/>
    <w:rsid w:val="00241FEC"/>
    <w:rsid w:val="00243562"/>
    <w:rsid w:val="0025164A"/>
    <w:rsid w:val="00265C3D"/>
    <w:rsid w:val="00266C2E"/>
    <w:rsid w:val="00270DF8"/>
    <w:rsid w:val="002754B3"/>
    <w:rsid w:val="0028392B"/>
    <w:rsid w:val="002934F2"/>
    <w:rsid w:val="002A3A19"/>
    <w:rsid w:val="002A3ED4"/>
    <w:rsid w:val="002A7274"/>
    <w:rsid w:val="002B2833"/>
    <w:rsid w:val="002B7BA1"/>
    <w:rsid w:val="002C01BB"/>
    <w:rsid w:val="002C3FA4"/>
    <w:rsid w:val="002E2161"/>
    <w:rsid w:val="002E30F2"/>
    <w:rsid w:val="002E4E72"/>
    <w:rsid w:val="002F0CE0"/>
    <w:rsid w:val="002F4ED9"/>
    <w:rsid w:val="002F75FE"/>
    <w:rsid w:val="002F7FA5"/>
    <w:rsid w:val="003017F4"/>
    <w:rsid w:val="00301AAB"/>
    <w:rsid w:val="00306B68"/>
    <w:rsid w:val="003129FE"/>
    <w:rsid w:val="003322AC"/>
    <w:rsid w:val="00335342"/>
    <w:rsid w:val="00343A8E"/>
    <w:rsid w:val="00345713"/>
    <w:rsid w:val="003566B9"/>
    <w:rsid w:val="00356C98"/>
    <w:rsid w:val="0036367B"/>
    <w:rsid w:val="0036496C"/>
    <w:rsid w:val="00365414"/>
    <w:rsid w:val="00372734"/>
    <w:rsid w:val="00372A33"/>
    <w:rsid w:val="0037374A"/>
    <w:rsid w:val="00377A88"/>
    <w:rsid w:val="00392E2B"/>
    <w:rsid w:val="003A396F"/>
    <w:rsid w:val="003A68FD"/>
    <w:rsid w:val="003A7A18"/>
    <w:rsid w:val="003B3187"/>
    <w:rsid w:val="003B327A"/>
    <w:rsid w:val="003B4612"/>
    <w:rsid w:val="003B76D2"/>
    <w:rsid w:val="003D6D41"/>
    <w:rsid w:val="003E3B0A"/>
    <w:rsid w:val="0040581D"/>
    <w:rsid w:val="00417BF3"/>
    <w:rsid w:val="00425D21"/>
    <w:rsid w:val="00426463"/>
    <w:rsid w:val="00427875"/>
    <w:rsid w:val="004317A0"/>
    <w:rsid w:val="0043556D"/>
    <w:rsid w:val="0043739B"/>
    <w:rsid w:val="00441579"/>
    <w:rsid w:val="004418B5"/>
    <w:rsid w:val="00445789"/>
    <w:rsid w:val="00463FB8"/>
    <w:rsid w:val="00480A2F"/>
    <w:rsid w:val="00480B47"/>
    <w:rsid w:val="00481F19"/>
    <w:rsid w:val="00487BC0"/>
    <w:rsid w:val="00490FF8"/>
    <w:rsid w:val="004A1851"/>
    <w:rsid w:val="004B337A"/>
    <w:rsid w:val="004B5538"/>
    <w:rsid w:val="004C3127"/>
    <w:rsid w:val="004D27C3"/>
    <w:rsid w:val="004D44D2"/>
    <w:rsid w:val="004D491E"/>
    <w:rsid w:val="004E3E51"/>
    <w:rsid w:val="004E625A"/>
    <w:rsid w:val="004F73BD"/>
    <w:rsid w:val="00502474"/>
    <w:rsid w:val="00515110"/>
    <w:rsid w:val="00523062"/>
    <w:rsid w:val="00532434"/>
    <w:rsid w:val="00537019"/>
    <w:rsid w:val="0054271B"/>
    <w:rsid w:val="00545281"/>
    <w:rsid w:val="00551A39"/>
    <w:rsid w:val="00566585"/>
    <w:rsid w:val="00580A2F"/>
    <w:rsid w:val="005A2CB7"/>
    <w:rsid w:val="005B15C7"/>
    <w:rsid w:val="005B51EA"/>
    <w:rsid w:val="005C6B92"/>
    <w:rsid w:val="005F4CC9"/>
    <w:rsid w:val="0060056E"/>
    <w:rsid w:val="006039C9"/>
    <w:rsid w:val="00605602"/>
    <w:rsid w:val="00605D22"/>
    <w:rsid w:val="00620A03"/>
    <w:rsid w:val="00621126"/>
    <w:rsid w:val="0062145A"/>
    <w:rsid w:val="00633C60"/>
    <w:rsid w:val="00645C9F"/>
    <w:rsid w:val="00650775"/>
    <w:rsid w:val="0065388D"/>
    <w:rsid w:val="00655506"/>
    <w:rsid w:val="00674396"/>
    <w:rsid w:val="006849AD"/>
    <w:rsid w:val="006853A7"/>
    <w:rsid w:val="0069507F"/>
    <w:rsid w:val="006955DD"/>
    <w:rsid w:val="00697A98"/>
    <w:rsid w:val="006A0492"/>
    <w:rsid w:val="006A3DED"/>
    <w:rsid w:val="006A6E23"/>
    <w:rsid w:val="006B05FF"/>
    <w:rsid w:val="006C4D2E"/>
    <w:rsid w:val="006D3D60"/>
    <w:rsid w:val="006E1F9C"/>
    <w:rsid w:val="006E4A2C"/>
    <w:rsid w:val="006E721A"/>
    <w:rsid w:val="006F0E11"/>
    <w:rsid w:val="006F40C8"/>
    <w:rsid w:val="00700872"/>
    <w:rsid w:val="00706BB4"/>
    <w:rsid w:val="00714029"/>
    <w:rsid w:val="007203B6"/>
    <w:rsid w:val="007222C1"/>
    <w:rsid w:val="00725205"/>
    <w:rsid w:val="0074091B"/>
    <w:rsid w:val="00740927"/>
    <w:rsid w:val="00744302"/>
    <w:rsid w:val="00747C60"/>
    <w:rsid w:val="007732EA"/>
    <w:rsid w:val="00777EA3"/>
    <w:rsid w:val="007933F9"/>
    <w:rsid w:val="00793C7B"/>
    <w:rsid w:val="007954B6"/>
    <w:rsid w:val="007A5E22"/>
    <w:rsid w:val="007B3768"/>
    <w:rsid w:val="007B5395"/>
    <w:rsid w:val="007C38FB"/>
    <w:rsid w:val="007C6434"/>
    <w:rsid w:val="007D4E4C"/>
    <w:rsid w:val="007D5F13"/>
    <w:rsid w:val="007D69F8"/>
    <w:rsid w:val="007E4819"/>
    <w:rsid w:val="007E4E03"/>
    <w:rsid w:val="007E7289"/>
    <w:rsid w:val="00805F3F"/>
    <w:rsid w:val="00817A5D"/>
    <w:rsid w:val="00821209"/>
    <w:rsid w:val="00821491"/>
    <w:rsid w:val="00831411"/>
    <w:rsid w:val="00842536"/>
    <w:rsid w:val="00843692"/>
    <w:rsid w:val="00847DE1"/>
    <w:rsid w:val="0085135B"/>
    <w:rsid w:val="0085287C"/>
    <w:rsid w:val="008559B6"/>
    <w:rsid w:val="008559FD"/>
    <w:rsid w:val="00855E65"/>
    <w:rsid w:val="0085612E"/>
    <w:rsid w:val="00880868"/>
    <w:rsid w:val="00880D30"/>
    <w:rsid w:val="008811AD"/>
    <w:rsid w:val="008812FA"/>
    <w:rsid w:val="008B222B"/>
    <w:rsid w:val="008C138F"/>
    <w:rsid w:val="008C204C"/>
    <w:rsid w:val="008C2625"/>
    <w:rsid w:val="008C4FE2"/>
    <w:rsid w:val="008D4D6A"/>
    <w:rsid w:val="008F7014"/>
    <w:rsid w:val="009049E9"/>
    <w:rsid w:val="00907F9B"/>
    <w:rsid w:val="00911503"/>
    <w:rsid w:val="00917C2D"/>
    <w:rsid w:val="009209B6"/>
    <w:rsid w:val="00923CB4"/>
    <w:rsid w:val="009335E0"/>
    <w:rsid w:val="00941732"/>
    <w:rsid w:val="009510F3"/>
    <w:rsid w:val="00954018"/>
    <w:rsid w:val="00955590"/>
    <w:rsid w:val="00970435"/>
    <w:rsid w:val="009704EC"/>
    <w:rsid w:val="00971619"/>
    <w:rsid w:val="00982EAB"/>
    <w:rsid w:val="0098505E"/>
    <w:rsid w:val="00991480"/>
    <w:rsid w:val="009945A7"/>
    <w:rsid w:val="00995E63"/>
    <w:rsid w:val="0099643D"/>
    <w:rsid w:val="009969DC"/>
    <w:rsid w:val="00996BA5"/>
    <w:rsid w:val="009A0F79"/>
    <w:rsid w:val="009A3C75"/>
    <w:rsid w:val="009B03F2"/>
    <w:rsid w:val="009C4EE2"/>
    <w:rsid w:val="009D46B1"/>
    <w:rsid w:val="009E7F6E"/>
    <w:rsid w:val="009F2B6A"/>
    <w:rsid w:val="009F5541"/>
    <w:rsid w:val="00A01204"/>
    <w:rsid w:val="00A022BA"/>
    <w:rsid w:val="00A256AC"/>
    <w:rsid w:val="00A32BE3"/>
    <w:rsid w:val="00A4207A"/>
    <w:rsid w:val="00A5653E"/>
    <w:rsid w:val="00A63533"/>
    <w:rsid w:val="00A723C4"/>
    <w:rsid w:val="00A72D2B"/>
    <w:rsid w:val="00A820E9"/>
    <w:rsid w:val="00A82942"/>
    <w:rsid w:val="00A83E24"/>
    <w:rsid w:val="00AA20F8"/>
    <w:rsid w:val="00AA327B"/>
    <w:rsid w:val="00AA55AF"/>
    <w:rsid w:val="00AB19A5"/>
    <w:rsid w:val="00AC2FD6"/>
    <w:rsid w:val="00AC78FC"/>
    <w:rsid w:val="00AD4CFE"/>
    <w:rsid w:val="00AE79BA"/>
    <w:rsid w:val="00AF350E"/>
    <w:rsid w:val="00AF3D8F"/>
    <w:rsid w:val="00AF5273"/>
    <w:rsid w:val="00AF5D3D"/>
    <w:rsid w:val="00B0671C"/>
    <w:rsid w:val="00B13495"/>
    <w:rsid w:val="00B262DD"/>
    <w:rsid w:val="00B278DE"/>
    <w:rsid w:val="00B30287"/>
    <w:rsid w:val="00B30EBD"/>
    <w:rsid w:val="00B351C3"/>
    <w:rsid w:val="00B36AC9"/>
    <w:rsid w:val="00B36E7A"/>
    <w:rsid w:val="00B542CD"/>
    <w:rsid w:val="00B6465B"/>
    <w:rsid w:val="00B772D7"/>
    <w:rsid w:val="00B85451"/>
    <w:rsid w:val="00B86006"/>
    <w:rsid w:val="00B86D86"/>
    <w:rsid w:val="00BA2A96"/>
    <w:rsid w:val="00BA5FE5"/>
    <w:rsid w:val="00BC1FD9"/>
    <w:rsid w:val="00BC30FF"/>
    <w:rsid w:val="00BC500D"/>
    <w:rsid w:val="00BD7FD7"/>
    <w:rsid w:val="00BF1606"/>
    <w:rsid w:val="00BF1647"/>
    <w:rsid w:val="00BF5A25"/>
    <w:rsid w:val="00C06428"/>
    <w:rsid w:val="00C11347"/>
    <w:rsid w:val="00C35018"/>
    <w:rsid w:val="00C40A34"/>
    <w:rsid w:val="00C4484E"/>
    <w:rsid w:val="00C46F7C"/>
    <w:rsid w:val="00C519B5"/>
    <w:rsid w:val="00C55EDB"/>
    <w:rsid w:val="00C573E9"/>
    <w:rsid w:val="00C729DA"/>
    <w:rsid w:val="00C764B7"/>
    <w:rsid w:val="00C90B56"/>
    <w:rsid w:val="00CA3F25"/>
    <w:rsid w:val="00CB5B9D"/>
    <w:rsid w:val="00CB6428"/>
    <w:rsid w:val="00CC01A5"/>
    <w:rsid w:val="00CC2134"/>
    <w:rsid w:val="00CD255A"/>
    <w:rsid w:val="00D126EC"/>
    <w:rsid w:val="00D14955"/>
    <w:rsid w:val="00D24CD6"/>
    <w:rsid w:val="00D24FA6"/>
    <w:rsid w:val="00D544D2"/>
    <w:rsid w:val="00D660F8"/>
    <w:rsid w:val="00D744C5"/>
    <w:rsid w:val="00D827AF"/>
    <w:rsid w:val="00D8451F"/>
    <w:rsid w:val="00D8474D"/>
    <w:rsid w:val="00D84D5B"/>
    <w:rsid w:val="00D86771"/>
    <w:rsid w:val="00D90C73"/>
    <w:rsid w:val="00D90F17"/>
    <w:rsid w:val="00D9480E"/>
    <w:rsid w:val="00D94FFD"/>
    <w:rsid w:val="00DA7038"/>
    <w:rsid w:val="00DB4AF2"/>
    <w:rsid w:val="00DB572A"/>
    <w:rsid w:val="00DC14B3"/>
    <w:rsid w:val="00DC399C"/>
    <w:rsid w:val="00DC7D6D"/>
    <w:rsid w:val="00DD2999"/>
    <w:rsid w:val="00DD2B43"/>
    <w:rsid w:val="00DD2CF8"/>
    <w:rsid w:val="00DD5C58"/>
    <w:rsid w:val="00DE240B"/>
    <w:rsid w:val="00DE529C"/>
    <w:rsid w:val="00DE6D9E"/>
    <w:rsid w:val="00DF3482"/>
    <w:rsid w:val="00DF450F"/>
    <w:rsid w:val="00E04A58"/>
    <w:rsid w:val="00E07425"/>
    <w:rsid w:val="00E07A05"/>
    <w:rsid w:val="00E16025"/>
    <w:rsid w:val="00E167FD"/>
    <w:rsid w:val="00E16F50"/>
    <w:rsid w:val="00E24179"/>
    <w:rsid w:val="00E31783"/>
    <w:rsid w:val="00E36636"/>
    <w:rsid w:val="00E37984"/>
    <w:rsid w:val="00E43A34"/>
    <w:rsid w:val="00E44D37"/>
    <w:rsid w:val="00E52850"/>
    <w:rsid w:val="00E609A5"/>
    <w:rsid w:val="00E61928"/>
    <w:rsid w:val="00E656D2"/>
    <w:rsid w:val="00E7276C"/>
    <w:rsid w:val="00E84382"/>
    <w:rsid w:val="00E9180B"/>
    <w:rsid w:val="00EA0646"/>
    <w:rsid w:val="00EA2BA4"/>
    <w:rsid w:val="00EA3103"/>
    <w:rsid w:val="00EB15C1"/>
    <w:rsid w:val="00EC325A"/>
    <w:rsid w:val="00EC3A8E"/>
    <w:rsid w:val="00EC57F0"/>
    <w:rsid w:val="00ED68AF"/>
    <w:rsid w:val="00EF2E7C"/>
    <w:rsid w:val="00F01A6E"/>
    <w:rsid w:val="00F11811"/>
    <w:rsid w:val="00F20178"/>
    <w:rsid w:val="00F23C6C"/>
    <w:rsid w:val="00F24BC8"/>
    <w:rsid w:val="00F25045"/>
    <w:rsid w:val="00F30F3E"/>
    <w:rsid w:val="00F32002"/>
    <w:rsid w:val="00F4605D"/>
    <w:rsid w:val="00F51EF5"/>
    <w:rsid w:val="00F74928"/>
    <w:rsid w:val="00F8197E"/>
    <w:rsid w:val="00F833B1"/>
    <w:rsid w:val="00F87D90"/>
    <w:rsid w:val="00F90495"/>
    <w:rsid w:val="00FA4179"/>
    <w:rsid w:val="00FB4362"/>
    <w:rsid w:val="00FB53A1"/>
    <w:rsid w:val="00FD30CF"/>
    <w:rsid w:val="00FE0E46"/>
    <w:rsid w:val="00FF0AEC"/>
    <w:rsid w:val="00FF1DF4"/>
    <w:rsid w:val="00FF4165"/>
    <w:rsid w:val="020823CE"/>
    <w:rsid w:val="03486EE3"/>
    <w:rsid w:val="04875B1C"/>
    <w:rsid w:val="06383B48"/>
    <w:rsid w:val="0811600D"/>
    <w:rsid w:val="09CE25B1"/>
    <w:rsid w:val="0A20501F"/>
    <w:rsid w:val="0AB3379D"/>
    <w:rsid w:val="0B7F2E6D"/>
    <w:rsid w:val="0D3A01A5"/>
    <w:rsid w:val="0FD03043"/>
    <w:rsid w:val="113741D2"/>
    <w:rsid w:val="11497DFD"/>
    <w:rsid w:val="12FE16DE"/>
    <w:rsid w:val="13312F5A"/>
    <w:rsid w:val="15955DA9"/>
    <w:rsid w:val="16175528"/>
    <w:rsid w:val="1674424F"/>
    <w:rsid w:val="17FB6783"/>
    <w:rsid w:val="192B3098"/>
    <w:rsid w:val="19DB7AF9"/>
    <w:rsid w:val="1A396C2F"/>
    <w:rsid w:val="1CA81167"/>
    <w:rsid w:val="1CD8447D"/>
    <w:rsid w:val="1D022869"/>
    <w:rsid w:val="1D34261E"/>
    <w:rsid w:val="1D8B5932"/>
    <w:rsid w:val="1DB263E5"/>
    <w:rsid w:val="1E7F0D6B"/>
    <w:rsid w:val="1EBB0A1A"/>
    <w:rsid w:val="1F7C736C"/>
    <w:rsid w:val="1F996A3F"/>
    <w:rsid w:val="1FDB0A71"/>
    <w:rsid w:val="200E553B"/>
    <w:rsid w:val="23952182"/>
    <w:rsid w:val="24763D61"/>
    <w:rsid w:val="25703B83"/>
    <w:rsid w:val="26280178"/>
    <w:rsid w:val="26404627"/>
    <w:rsid w:val="26A902C5"/>
    <w:rsid w:val="2A1B4A63"/>
    <w:rsid w:val="2A30050E"/>
    <w:rsid w:val="2AB847C4"/>
    <w:rsid w:val="2C7217DF"/>
    <w:rsid w:val="2DBD655D"/>
    <w:rsid w:val="2E65626B"/>
    <w:rsid w:val="32396127"/>
    <w:rsid w:val="32E225C2"/>
    <w:rsid w:val="33F27801"/>
    <w:rsid w:val="34141ED9"/>
    <w:rsid w:val="365D69D5"/>
    <w:rsid w:val="369D163F"/>
    <w:rsid w:val="38497A4C"/>
    <w:rsid w:val="386C3059"/>
    <w:rsid w:val="39365415"/>
    <w:rsid w:val="3C474863"/>
    <w:rsid w:val="3DA6700D"/>
    <w:rsid w:val="3EDE6333"/>
    <w:rsid w:val="4095535E"/>
    <w:rsid w:val="41F320F5"/>
    <w:rsid w:val="43A538C3"/>
    <w:rsid w:val="441D16AC"/>
    <w:rsid w:val="4A161077"/>
    <w:rsid w:val="4BD27220"/>
    <w:rsid w:val="4CF654B9"/>
    <w:rsid w:val="4DF06083"/>
    <w:rsid w:val="4FB54ACB"/>
    <w:rsid w:val="514B76A4"/>
    <w:rsid w:val="52011C46"/>
    <w:rsid w:val="527E074E"/>
    <w:rsid w:val="537E1A3B"/>
    <w:rsid w:val="55F30D06"/>
    <w:rsid w:val="56EB73E7"/>
    <w:rsid w:val="572B1EDA"/>
    <w:rsid w:val="579503FF"/>
    <w:rsid w:val="57E40184"/>
    <w:rsid w:val="5C224E55"/>
    <w:rsid w:val="5C495171"/>
    <w:rsid w:val="60535296"/>
    <w:rsid w:val="614F743B"/>
    <w:rsid w:val="61F23D20"/>
    <w:rsid w:val="63051831"/>
    <w:rsid w:val="64061D04"/>
    <w:rsid w:val="663973F7"/>
    <w:rsid w:val="66B443E8"/>
    <w:rsid w:val="66B56746"/>
    <w:rsid w:val="6B7B74A0"/>
    <w:rsid w:val="6BE60DC5"/>
    <w:rsid w:val="6CD04C5E"/>
    <w:rsid w:val="70C02A56"/>
    <w:rsid w:val="70D171F6"/>
    <w:rsid w:val="7185070D"/>
    <w:rsid w:val="71E82A49"/>
    <w:rsid w:val="72FD2525"/>
    <w:rsid w:val="73610D05"/>
    <w:rsid w:val="7386251A"/>
    <w:rsid w:val="74D934E6"/>
    <w:rsid w:val="75A90742"/>
    <w:rsid w:val="76D87530"/>
    <w:rsid w:val="78022FA4"/>
    <w:rsid w:val="78A84ABA"/>
    <w:rsid w:val="78EB0698"/>
    <w:rsid w:val="799874E6"/>
    <w:rsid w:val="79FD2E0A"/>
    <w:rsid w:val="7AB756AF"/>
    <w:rsid w:val="7AC322A6"/>
    <w:rsid w:val="7AEA15E0"/>
    <w:rsid w:val="7C681E8D"/>
    <w:rsid w:val="7D4602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qFormat="1" w:unhideWhenUsed="0" w:uiPriority="0" w:semiHidden="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7"/>
    <w:autoRedefine/>
    <w:qFormat/>
    <w:uiPriority w:val="0"/>
    <w:pPr>
      <w:keepNext/>
      <w:keepLines/>
      <w:spacing w:before="340" w:after="330" w:line="578" w:lineRule="auto"/>
      <w:outlineLvl w:val="0"/>
    </w:pPr>
    <w:rPr>
      <w:rFonts w:ascii="Times New Roman" w:hAnsi="Times New Roman"/>
      <w:b/>
      <w:bCs/>
      <w:kern w:val="44"/>
      <w:sz w:val="44"/>
      <w:szCs w:val="44"/>
    </w:rPr>
  </w:style>
  <w:style w:type="character" w:default="1" w:styleId="10">
    <w:name w:val="Default Paragraph Font"/>
    <w:autoRedefine/>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3">
    <w:name w:val="annotation text"/>
    <w:basedOn w:val="1"/>
    <w:link w:val="19"/>
    <w:autoRedefine/>
    <w:qFormat/>
    <w:uiPriority w:val="0"/>
    <w:pPr>
      <w:jc w:val="left"/>
    </w:pPr>
  </w:style>
  <w:style w:type="paragraph" w:styleId="4">
    <w:name w:val="Balloon Text"/>
    <w:basedOn w:val="1"/>
    <w:link w:val="16"/>
    <w:autoRedefine/>
    <w:qFormat/>
    <w:uiPriority w:val="0"/>
    <w:rPr>
      <w:sz w:val="18"/>
      <w:szCs w:val="18"/>
    </w:rPr>
  </w:style>
  <w:style w:type="paragraph" w:styleId="5">
    <w:name w:val="footer"/>
    <w:basedOn w:val="1"/>
    <w:link w:val="13"/>
    <w:autoRedefine/>
    <w:qFormat/>
    <w:uiPriority w:val="0"/>
    <w:pPr>
      <w:tabs>
        <w:tab w:val="center" w:pos="4153"/>
        <w:tab w:val="right" w:pos="8306"/>
      </w:tabs>
      <w:snapToGrid w:val="0"/>
      <w:jc w:val="left"/>
    </w:pPr>
    <w:rPr>
      <w:sz w:val="18"/>
      <w:szCs w:val="18"/>
    </w:rPr>
  </w:style>
  <w:style w:type="paragraph" w:styleId="6">
    <w:name w:val="header"/>
    <w:basedOn w:val="1"/>
    <w:link w:val="14"/>
    <w:autoRedefine/>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99"/>
    <w:pPr>
      <w:spacing w:beforeAutospacing="1" w:afterAutospacing="1"/>
      <w:jc w:val="left"/>
    </w:pPr>
    <w:rPr>
      <w:rFonts w:cs="Times New Roman"/>
      <w:kern w:val="0"/>
      <w:sz w:val="24"/>
    </w:rPr>
  </w:style>
  <w:style w:type="paragraph" w:styleId="8">
    <w:name w:val="annotation subject"/>
    <w:basedOn w:val="3"/>
    <w:next w:val="3"/>
    <w:link w:val="20"/>
    <w:autoRedefine/>
    <w:qFormat/>
    <w:uiPriority w:val="0"/>
    <w:rPr>
      <w:b/>
      <w:bCs/>
    </w:rPr>
  </w:style>
  <w:style w:type="character" w:styleId="11">
    <w:name w:val="line number"/>
    <w:autoRedefine/>
    <w:qFormat/>
    <w:uiPriority w:val="0"/>
  </w:style>
  <w:style w:type="character" w:styleId="12">
    <w:name w:val="annotation reference"/>
    <w:autoRedefine/>
    <w:qFormat/>
    <w:uiPriority w:val="0"/>
    <w:rPr>
      <w:sz w:val="21"/>
      <w:szCs w:val="21"/>
    </w:rPr>
  </w:style>
  <w:style w:type="character" w:customStyle="1" w:styleId="13">
    <w:name w:val="页脚 Char"/>
    <w:link w:val="5"/>
    <w:autoRedefine/>
    <w:qFormat/>
    <w:uiPriority w:val="0"/>
    <w:rPr>
      <w:sz w:val="18"/>
      <w:szCs w:val="18"/>
    </w:rPr>
  </w:style>
  <w:style w:type="character" w:customStyle="1" w:styleId="14">
    <w:name w:val="页眉 Char"/>
    <w:link w:val="6"/>
    <w:autoRedefine/>
    <w:qFormat/>
    <w:uiPriority w:val="0"/>
    <w:rPr>
      <w:sz w:val="18"/>
      <w:szCs w:val="18"/>
    </w:rPr>
  </w:style>
  <w:style w:type="paragraph" w:styleId="15">
    <w:name w:val="List Paragraph"/>
    <w:basedOn w:val="1"/>
    <w:autoRedefine/>
    <w:qFormat/>
    <w:uiPriority w:val="0"/>
    <w:pPr>
      <w:ind w:firstLine="420" w:firstLineChars="200"/>
    </w:pPr>
  </w:style>
  <w:style w:type="character" w:customStyle="1" w:styleId="16">
    <w:name w:val="批注框文本 Char"/>
    <w:link w:val="4"/>
    <w:autoRedefine/>
    <w:qFormat/>
    <w:uiPriority w:val="0"/>
    <w:rPr>
      <w:kern w:val="2"/>
      <w:sz w:val="18"/>
      <w:szCs w:val="18"/>
    </w:rPr>
  </w:style>
  <w:style w:type="character" w:customStyle="1" w:styleId="17">
    <w:name w:val="标题 1 Char"/>
    <w:link w:val="2"/>
    <w:autoRedefine/>
    <w:qFormat/>
    <w:uiPriority w:val="0"/>
    <w:rPr>
      <w:rFonts w:ascii="Times New Roman" w:hAnsi="Times New Roman"/>
      <w:b/>
      <w:bCs/>
      <w:kern w:val="44"/>
      <w:sz w:val="44"/>
      <w:szCs w:val="44"/>
    </w:rPr>
  </w:style>
  <w:style w:type="paragraph" w:customStyle="1" w:styleId="18">
    <w:name w:val="TOC Heading"/>
    <w:basedOn w:val="2"/>
    <w:next w:val="1"/>
    <w:autoRedefine/>
    <w:qFormat/>
    <w:uiPriority w:val="0"/>
    <w:pPr>
      <w:widowControl/>
      <w:spacing w:before="480" w:after="0" w:line="276" w:lineRule="auto"/>
      <w:jc w:val="left"/>
      <w:outlineLvl w:val="9"/>
    </w:pPr>
    <w:rPr>
      <w:rFonts w:ascii="Cambria" w:hAnsi="Cambria"/>
      <w:color w:val="365F91"/>
      <w:kern w:val="0"/>
      <w:sz w:val="28"/>
      <w:szCs w:val="28"/>
    </w:rPr>
  </w:style>
  <w:style w:type="character" w:customStyle="1" w:styleId="19">
    <w:name w:val="批注文字 Char"/>
    <w:link w:val="3"/>
    <w:autoRedefine/>
    <w:qFormat/>
    <w:uiPriority w:val="0"/>
    <w:rPr>
      <w:kern w:val="2"/>
      <w:sz w:val="21"/>
      <w:szCs w:val="22"/>
    </w:rPr>
  </w:style>
  <w:style w:type="character" w:customStyle="1" w:styleId="20">
    <w:name w:val="批注主题 Char"/>
    <w:link w:val="8"/>
    <w:autoRedefine/>
    <w:qFormat/>
    <w:uiPriority w:val="0"/>
    <w:rPr>
      <w:b/>
      <w:bCs/>
      <w:kern w:val="2"/>
      <w:sz w:val="21"/>
      <w:szCs w:val="22"/>
    </w:rPr>
  </w:style>
  <w:style w:type="character" w:customStyle="1" w:styleId="21">
    <w:name w:val="fontstyle01"/>
    <w:autoRedefine/>
    <w:qFormat/>
    <w:uiPriority w:val="0"/>
    <w:rPr>
      <w:rFonts w:hint="eastAsia" w:ascii="仿宋_GB2312" w:eastAsia="仿宋_GB2312"/>
      <w:color w:val="000000"/>
      <w:sz w:val="32"/>
      <w:szCs w:val="32"/>
    </w:rPr>
  </w:style>
  <w:style w:type="character" w:customStyle="1" w:styleId="22">
    <w:name w:val="fontstyle21"/>
    <w:autoRedefine/>
    <w:qFormat/>
    <w:uiPriority w:val="0"/>
    <w:rPr>
      <w:rFonts w:hint="default" w:ascii="TimesNewRomanPSMT" w:hAnsi="TimesNewRomanPSMT"/>
      <w:color w:val="000000"/>
      <w:sz w:val="32"/>
      <w:szCs w:val="32"/>
    </w:rPr>
  </w:style>
  <w:style w:type="character" w:customStyle="1" w:styleId="23">
    <w:name w:val="fontstyle11"/>
    <w:autoRedefine/>
    <w:qFormat/>
    <w:uiPriority w:val="0"/>
    <w:rPr>
      <w:rFonts w:hint="eastAsia" w:ascii="仿宋_GB2312" w:eastAsia="仿宋_GB2312"/>
      <w:color w:val="000000"/>
      <w:sz w:val="32"/>
      <w:szCs w:val="32"/>
    </w:rPr>
  </w:style>
  <w:style w:type="character" w:customStyle="1" w:styleId="24">
    <w:name w:val="fontstyle31"/>
    <w:autoRedefine/>
    <w:qFormat/>
    <w:uiPriority w:val="0"/>
    <w:rPr>
      <w:rFonts w:hint="default" w:ascii="TimesNewRomanPSMT" w:hAnsi="TimesNewRomanPSMT"/>
      <w:color w:val="000000"/>
      <w:sz w:val="32"/>
      <w:szCs w:val="3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2" Type="http://schemas.openxmlformats.org/officeDocument/2006/relationships/font" Target="fonts/font1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1" Type="http://schemas.openxmlformats.org/officeDocument/2006/relationships/oleObject" Target="file:///F:\&#29579;&#28023;&#29141;\2024&#24180;&#24247;&#20048;&#38215;&#25919;&#24220;&#36130;&#21153;\2024&#24180;&#39044;&#31639;&#20844;&#24320;\&#39044;&#31639;&#20844;&#24320;&#19977;&#20010;&#22270;&#29255;&#21046;&#20316;&#27169;&#26495;&#65288;&#20462;&#25913;&#65289;.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25" b="1" i="0" u="none" strike="noStrike" kern="1200" baseline="0">
                <a:solidFill>
                  <a:srgbClr val="000000"/>
                </a:solidFill>
                <a:latin typeface="Calibri" panose="020F0502020204030204" pitchFamily="2" charset="0"/>
                <a:ea typeface="Calibri" panose="020F0502020204030204" pitchFamily="2" charset="0"/>
                <a:cs typeface="Calibri" panose="020F0502020204030204" pitchFamily="2" charset="0"/>
              </a:defRPr>
            </a:pPr>
            <a:r>
              <a:t>图1：收入预算构成</a:t>
            </a:r>
            <a:endParaRPr sz="1425" b="1" i="0" u="none" strike="noStrike" baseline="0">
              <a:solidFill>
                <a:srgbClr val="000000"/>
              </a:solidFill>
              <a:latin typeface="Calibri" panose="020F0502020204030204" pitchFamily="2" charset="0"/>
              <a:ea typeface="Calibri" panose="020F0502020204030204" pitchFamily="2" charset="0"/>
              <a:cs typeface="Calibri" panose="020F0502020204030204" pitchFamily="2" charset="0"/>
            </a:endParaRPr>
          </a:p>
        </c:rich>
      </c:tx>
      <c:layout/>
      <c:overlay val="0"/>
    </c:title>
    <c:autoTitleDeleted val="0"/>
    <c:plotArea>
      <c:layout>
        <c:manualLayout>
          <c:layoutTarget val="inner"/>
          <c:xMode val="edge"/>
          <c:yMode val="edge"/>
          <c:x val="0.37475"/>
          <c:y val="0.27875"/>
          <c:w val="0.25025"/>
          <c:h val="0.6725"/>
        </c:manualLayout>
      </c:layout>
      <c:pieChart>
        <c:varyColors val="0"/>
        <c:ser>
          <c:idx val="0"/>
          <c:order val="0"/>
          <c:tx>
            <c:strRef>
              <c:f>一般公共预算收支结构图!$B$1</c:f>
              <c:strCache>
                <c:ptCount val="1"/>
                <c:pt idx="0">
                  <c:v>收入</c:v>
                </c:pt>
              </c:strCache>
            </c:strRef>
          </c:tx>
          <c:spPr>
            <a:solidFill>
              <a:srgbClr val="4F80BD">
                <a:alpha val="100000"/>
              </a:srgbClr>
            </a:solidFill>
            <a:ln w="12700">
              <a:solidFill>
                <a:srgbClr val="000000">
                  <a:alpha val="100000"/>
                </a:srgbClr>
              </a:solidFill>
              <a:prstDash val="solid"/>
            </a:ln>
          </c:spPr>
          <c:explosion val="0"/>
          <c:dPt>
            <c:idx val="0"/>
            <c:bubble3D val="0"/>
            <c:explosion val="0"/>
            <c:spPr>
              <a:solidFill>
                <a:srgbClr val="4F80BD">
                  <a:alpha val="100000"/>
                </a:srgbClr>
              </a:solidFill>
              <a:ln w="3175">
                <a:solidFill>
                  <a:srgbClr val="000000">
                    <a:alpha val="100000"/>
                  </a:srgbClr>
                </a:solidFill>
                <a:prstDash val="solid"/>
              </a:ln>
            </c:spPr>
          </c:dPt>
          <c:dPt>
            <c:idx val="1"/>
            <c:bubble3D val="0"/>
            <c:explosion val="0"/>
            <c:spPr>
              <a:solidFill>
                <a:srgbClr val="C0504D">
                  <a:alpha val="100000"/>
                </a:srgbClr>
              </a:solidFill>
              <a:ln w="3175">
                <a:solidFill>
                  <a:srgbClr val="000000">
                    <a:alpha val="100000"/>
                  </a:srgbClr>
                </a:solidFill>
                <a:prstDash val="solid"/>
              </a:ln>
            </c:spPr>
          </c:dPt>
          <c:dPt>
            <c:idx val="2"/>
            <c:bubble3D val="0"/>
            <c:explosion val="0"/>
            <c:spPr>
              <a:solidFill>
                <a:srgbClr val="9BBB59">
                  <a:alpha val="100000"/>
                </a:srgbClr>
              </a:solidFill>
              <a:ln w="3175">
                <a:solidFill>
                  <a:srgbClr val="000000">
                    <a:alpha val="100000"/>
                  </a:srgbClr>
                </a:solidFill>
                <a:prstDash val="solid"/>
              </a:ln>
            </c:spPr>
          </c:dPt>
          <c:dPt>
            <c:idx val="3"/>
            <c:bubble3D val="0"/>
            <c:explosion val="0"/>
            <c:spPr>
              <a:solidFill>
                <a:srgbClr val="7F62A2">
                  <a:alpha val="100000"/>
                </a:srgbClr>
              </a:solidFill>
              <a:ln w="3175">
                <a:solidFill>
                  <a:srgbClr val="000000">
                    <a:alpha val="100000"/>
                  </a:srgbClr>
                </a:solidFill>
                <a:prstDash val="solid"/>
              </a:ln>
            </c:spPr>
          </c:dPt>
          <c:dLbls>
            <c:delete val="1"/>
          </c:dLbls>
          <c:cat>
            <c:strRef>
              <c:f>一般公共预算收支结构图!$A$2:$A$5</c:f>
              <c:strCache>
                <c:ptCount val="4"/>
                <c:pt idx="0">
                  <c:v>一般公共预算收入</c:v>
                </c:pt>
                <c:pt idx="1">
                  <c:v>政府性基金预算收入</c:v>
                </c:pt>
                <c:pt idx="2">
                  <c:v>上年结转收入</c:v>
                </c:pt>
                <c:pt idx="3">
                  <c:v>其他收入</c:v>
                </c:pt>
              </c:strCache>
            </c:strRef>
          </c:cat>
          <c:val>
            <c:numRef>
              <c:f>一般公共预算收支结构图!$B$2:$B$5</c:f>
              <c:numCache>
                <c:formatCode>General</c:formatCode>
                <c:ptCount val="4"/>
                <c:pt idx="0">
                  <c:v>1880.81</c:v>
                </c:pt>
                <c:pt idx="1">
                  <c:v>0</c:v>
                </c:pt>
                <c:pt idx="2">
                  <c:v>0</c:v>
                </c:pt>
                <c:pt idx="3">
                  <c:v>0</c:v>
                </c:pt>
              </c:numCache>
            </c:numRef>
          </c:val>
        </c:ser>
        <c:dLbls>
          <c:showLegendKey val="0"/>
          <c:showVal val="0"/>
          <c:showCatName val="0"/>
          <c:showSerName val="0"/>
          <c:showPercent val="0"/>
          <c:showBubbleSize val="0"/>
          <c:showLeaderLines val="0"/>
        </c:dLbls>
        <c:firstSliceAng val="0"/>
      </c:pieChart>
      <c:spPr>
        <a:solidFill>
          <a:srgbClr val="FFFFFF"/>
        </a:solidFill>
        <a:ln w="3175">
          <a:noFill/>
        </a:ln>
      </c:spPr>
    </c:plotArea>
    <c:legend>
      <c:legendPos val="t"/>
      <c:layout/>
      <c:overlay val="0"/>
      <c:spPr>
        <a:noFill/>
        <a:ln w="3175">
          <a:noFill/>
        </a:ln>
      </c:spPr>
      <c:txPr>
        <a:bodyPr rot="0" spcFirstLastPara="0" vertOverflow="ellipsis" vert="horz" wrap="square" anchor="ctr" anchorCtr="1"/>
        <a:lstStyle/>
        <a:p>
          <a:pPr>
            <a:defRPr lang="zh-CN" sz="1000" b="0" i="0" u="none" strike="noStrike" kern="1200" baseline="0">
              <a:solidFill>
                <a:srgbClr val="000000"/>
              </a:solidFill>
              <a:latin typeface="Calibri" panose="020F0502020204030204" pitchFamily="2" charset="0"/>
              <a:ea typeface="Calibri" panose="020F0502020204030204" pitchFamily="2" charset="0"/>
              <a:cs typeface="Calibri" panose="020F0502020204030204" pitchFamily="2" charset="0"/>
            </a:defRPr>
          </a:pPr>
        </a:p>
      </c:txPr>
    </c:legend>
    <c:plotVisOnly val="0"/>
    <c:dispBlanksAs val="zero"/>
    <c:showDLblsOverMax val="0"/>
    <c:extLst>
      <c:ext uri="{0b15fc19-7d7d-44ad-8c2d-2c3a37ce22c3}">
        <chartProps xmlns="https://web.wps.cn/et/2018/main" chartId="{22ed8b13-5c37-409f-a207-badfe8b4b4b7}"/>
      </c:ext>
    </c:extLst>
  </c:chart>
  <c:spPr>
    <a:solidFill>
      <a:srgbClr val="FFFFFF">
        <a:alpha val="100000"/>
      </a:srgbClr>
    </a:solidFill>
    <a:ln w="3175" cap="flat" cmpd="sng" algn="ctr">
      <a:solidFill>
        <a:srgbClr val="000000">
          <a:alpha val="100000"/>
        </a:srgbClr>
      </a:solidFill>
      <a:prstDash val="solid"/>
      <a:round/>
    </a:ln>
  </c:spPr>
  <c:txPr>
    <a:bodyPr rot="0" wrap="square" anchor="ctr" anchorCtr="1"/>
    <a:lstStyle/>
    <a:p>
      <a:pPr>
        <a:defRPr lang="zh-CN" sz="1000" b="0" i="0" u="none" strike="noStrike" baseline="0">
          <a:solidFill>
            <a:srgbClr val="000000"/>
          </a:solidFill>
          <a:latin typeface="Calibri" panose="020F0502020204030204" pitchFamily="2" charset="0"/>
          <a:ea typeface="Calibri" panose="020F0502020204030204" pitchFamily="2" charset="0"/>
          <a:cs typeface="Calibri" panose="020F0502020204030204" pitchFamily="2" charset="0"/>
        </a:defRPr>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beijing</Company>
  <Pages>15</Pages>
  <Words>5388</Words>
  <Characters>5800</Characters>
  <Lines>68</Lines>
  <Paragraphs>19</Paragraphs>
  <TotalTime>0</TotalTime>
  <ScaleCrop>false</ScaleCrop>
  <LinksUpToDate>false</LinksUpToDate>
  <CharactersWithSpaces>5819</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2024-01-30T09:03:00Z</dcterms:created>
  <dc:creator>home</dc:creator>
  <cp:lastModifiedBy>₯㎕</cp:lastModifiedBy>
  <cp:lastPrinted>2022-02-15T07:45:00Z</cp:lastPrinted>
  <dcterms:modified xsi:type="dcterms:W3CDTF">2025-02-08T08:24:07Z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4746AA2B63644A919A7677ADD6665D0C</vt:lpwstr>
  </property>
  <property fmtid="{D5CDD505-2E9C-101B-9397-08002B2CF9AE}" pid="4" name="KSOTemplateDocerSaveRecord">
    <vt:lpwstr>eyJoZGlkIjoiYjQ4MTY1YWZiOTRlMzJmZWI1YWMyN2JjYmZhNjhjODMiLCJ1c2VySWQiOiI0NTU5MDY2ODcifQ==</vt:lpwstr>
  </property>
</Properties>
</file>