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hanging="1760" w:hangingChars="400"/>
        <w:textAlignment w:val="auto"/>
        <w:rPr>
          <w:rFonts w:hint="eastAsia" w:ascii="方正小标宋简体" w:hAnsi="方正小标宋简体" w:eastAsia="方正小标宋简体" w:cs="方正小标宋简体"/>
          <w:sz w:val="44"/>
          <w:szCs w:val="44"/>
        </w:rPr>
      </w:pPr>
    </w:p>
    <w:p>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hanging="1760" w:hangingChars="400"/>
        <w:textAlignment w:val="auto"/>
        <w:rPr>
          <w:rFonts w:hint="eastAsia" w:ascii="方正小标宋简体" w:hAnsi="方正小标宋简体" w:eastAsia="方正小标宋简体" w:cs="方正小标宋简体"/>
          <w:sz w:val="44"/>
          <w:szCs w:val="44"/>
        </w:rPr>
      </w:pPr>
    </w:p>
    <w:p>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hanging="1760" w:hangingChars="400"/>
        <w:jc w:val="center"/>
        <w:textAlignment w:val="auto"/>
        <w:rPr>
          <w:rFonts w:hint="eastAsia"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hanging="1760" w:hangingChars="400"/>
        <w:jc w:val="center"/>
        <w:textAlignment w:val="auto"/>
        <w:rPr>
          <w:rFonts w:hint="eastAsia"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hanging="1760" w:hangingChars="400"/>
        <w:jc w:val="center"/>
        <w:textAlignment w:val="auto"/>
        <w:rPr>
          <w:rFonts w:hint="eastAsia"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hanging="1760" w:hangingChars="400"/>
        <w:jc w:val="center"/>
        <w:textAlignment w:val="auto"/>
        <w:rPr>
          <w:rFonts w:hint="eastAsia"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hanging="1760" w:hangingChars="400"/>
        <w:jc w:val="center"/>
        <w:textAlignment w:val="auto"/>
        <w:rPr>
          <w:rFonts w:hint="eastAsia"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hanging="1280" w:hangingChars="400"/>
        <w:jc w:val="center"/>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肃民发〔2026〕**号</w:t>
      </w:r>
    </w:p>
    <w:p>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hanging="1760" w:hangingChars="400"/>
        <w:jc w:val="center"/>
        <w:textAlignment w:val="auto"/>
        <w:rPr>
          <w:rFonts w:hint="eastAsia"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hanging="1760" w:hangingChars="400"/>
        <w:jc w:val="center"/>
        <w:textAlignment w:val="auto"/>
        <w:rPr>
          <w:rFonts w:hint="eastAsia"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hanging="1760" w:hangingChars="400"/>
        <w:jc w:val="center"/>
        <w:textAlignment w:val="auto"/>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肃南裕固族自治县民政局</w:t>
      </w:r>
    </w:p>
    <w:p>
      <w:pPr>
        <w:pStyle w:val="2"/>
        <w:keepNext w:val="0"/>
        <w:keepLines w:val="0"/>
        <w:pageBreakBefore w:val="0"/>
        <w:widowControl/>
        <w:suppressLineNumbers w:val="0"/>
        <w:kinsoku/>
        <w:wordWrap/>
        <w:overflowPunct/>
        <w:topLinePunct w:val="0"/>
        <w:autoSpaceDE/>
        <w:autoSpaceDN/>
        <w:bidi w:val="0"/>
        <w:spacing w:beforeAutospacing="0" w:afterAutospacing="0" w:line="600" w:lineRule="exact"/>
        <w:ind w:left="0"/>
        <w:jc w:val="center"/>
        <w:rPr>
          <w:rFonts w:hint="eastAsia" w:ascii="方正小标宋简体" w:hAnsi="方正小标宋简体" w:eastAsia="方正小标宋简体" w:cs="方正小标宋简体"/>
          <w:b w:val="0"/>
          <w:bCs w:val="0"/>
          <w:sz w:val="44"/>
          <w:szCs w:val="44"/>
          <w:lang w:val="en-US"/>
        </w:rPr>
      </w:pPr>
      <w:r>
        <w:rPr>
          <w:rFonts w:hint="eastAsia" w:ascii="方正小标宋简体" w:hAnsi="方正小标宋简体" w:eastAsia="方正小标宋简体" w:cs="方正小标宋简体"/>
          <w:b w:val="0"/>
          <w:bCs w:val="0"/>
          <w:sz w:val="44"/>
          <w:szCs w:val="44"/>
          <w:lang w:val="en-US" w:eastAsia="zh-CN"/>
        </w:rPr>
        <w:t>印发《</w:t>
      </w:r>
      <w:r>
        <w:rPr>
          <w:rFonts w:hint="eastAsia" w:ascii="方正小标宋简体" w:hAnsi="方正小标宋简体" w:eastAsia="方正小标宋简体" w:cs="方正小标宋简体"/>
          <w:b w:val="0"/>
          <w:bCs w:val="0"/>
          <w:snapToGrid w:val="0"/>
          <w:color w:val="000000"/>
          <w:kern w:val="0"/>
          <w:sz w:val="44"/>
          <w:szCs w:val="44"/>
          <w:lang w:val="en-US" w:eastAsia="zh-CN" w:bidi="ar-SA"/>
        </w:rPr>
        <w:t>关于做好肃南县高龄津贴发放工作实施方案</w:t>
      </w:r>
      <w:r>
        <w:rPr>
          <w:rFonts w:hint="eastAsia" w:ascii="方正小标宋简体" w:hAnsi="方正小标宋简体" w:eastAsia="方正小标宋简体" w:cs="方正小标宋简体"/>
          <w:b w:val="0"/>
          <w:bCs w:val="0"/>
          <w:sz w:val="44"/>
          <w:szCs w:val="44"/>
          <w:lang w:val="en-US" w:eastAsia="zh-CN"/>
        </w:rPr>
        <w:t>》的通知</w:t>
      </w:r>
    </w:p>
    <w:p>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各乡（镇）人民政府：</w:t>
      </w:r>
    </w:p>
    <w:p>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现将《关于做好肃南县高龄津贴发放工作实施方案》印发你们，请结合实际贯彻执行。</w:t>
      </w:r>
    </w:p>
    <w:p>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firstLine="640" w:firstLineChars="200"/>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firstLine="640" w:firstLineChars="200"/>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firstLine="4160" w:firstLineChars="13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肃南裕固族自治县民政局</w:t>
      </w:r>
    </w:p>
    <w:p>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firstLine="4800" w:firstLineChars="15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2026年*月**日</w:t>
      </w:r>
    </w:p>
    <w:p>
      <w:pPr>
        <w:keepNext w:val="0"/>
        <w:keepLines w:val="0"/>
        <w:pageBreakBefore w:val="0"/>
        <w:widowControl w:val="0"/>
        <w:kinsoku/>
        <w:wordWrap/>
        <w:overflowPunct/>
        <w:topLinePunct w:val="0"/>
        <w:autoSpaceDE/>
        <w:autoSpaceDN/>
        <w:bidi w:val="0"/>
        <w:adjustRightInd/>
        <w:snapToGrid/>
        <w:spacing w:beforeAutospacing="0" w:afterAutospacing="0" w:line="600" w:lineRule="exact"/>
        <w:textAlignment w:val="auto"/>
        <w:rPr>
          <w:rFonts w:hint="eastAsia" w:ascii="仿宋_GB2312" w:hAnsi="仿宋_GB2312" w:eastAsia="仿宋_GB2312" w:cs="仿宋_GB2312"/>
          <w:sz w:val="32"/>
          <w:szCs w:val="32"/>
        </w:rPr>
      </w:pPr>
    </w:p>
    <w:p>
      <w:pPr>
        <w:pStyle w:val="2"/>
        <w:keepNext w:val="0"/>
        <w:keepLines w:val="0"/>
        <w:pageBreakBefore w:val="0"/>
        <w:widowControl/>
        <w:suppressLineNumbers w:val="0"/>
        <w:kinsoku/>
        <w:wordWrap/>
        <w:overflowPunct/>
        <w:topLinePunct w:val="0"/>
        <w:autoSpaceDE/>
        <w:autoSpaceDN/>
        <w:bidi w:val="0"/>
        <w:spacing w:beforeAutospacing="0" w:afterAutospacing="0" w:line="600" w:lineRule="exact"/>
        <w:ind w:left="0"/>
        <w:jc w:val="center"/>
        <w:rPr>
          <w:rFonts w:hint="eastAsia" w:ascii="方正小标宋简体" w:hAnsi="方正小标宋简体" w:eastAsia="方正小标宋简体" w:cs="方正小标宋简体"/>
          <w:b w:val="0"/>
          <w:bCs w:val="0"/>
          <w:snapToGrid w:val="0"/>
          <w:color w:val="000000"/>
          <w:kern w:val="0"/>
          <w:sz w:val="44"/>
          <w:szCs w:val="44"/>
          <w:lang w:val="en-US" w:eastAsia="zh-CN" w:bidi="ar-SA"/>
        </w:rPr>
      </w:pPr>
    </w:p>
    <w:p>
      <w:pPr>
        <w:pStyle w:val="2"/>
        <w:keepNext w:val="0"/>
        <w:keepLines w:val="0"/>
        <w:pageBreakBefore w:val="0"/>
        <w:widowControl/>
        <w:suppressLineNumbers w:val="0"/>
        <w:kinsoku/>
        <w:wordWrap/>
        <w:overflowPunct/>
        <w:topLinePunct w:val="0"/>
        <w:autoSpaceDE/>
        <w:autoSpaceDN/>
        <w:bidi w:val="0"/>
        <w:spacing w:beforeAutospacing="0" w:afterAutospacing="0" w:line="600" w:lineRule="exact"/>
        <w:ind w:left="0"/>
        <w:jc w:val="center"/>
        <w:rPr>
          <w:rFonts w:hint="eastAsia" w:ascii="方正小标宋简体" w:hAnsi="方正小标宋简体" w:eastAsia="方正小标宋简体" w:cs="方正小标宋简体"/>
          <w:b w:val="0"/>
          <w:bCs w:val="0"/>
          <w:snapToGrid w:val="0"/>
          <w:color w:val="000000"/>
          <w:kern w:val="0"/>
          <w:sz w:val="44"/>
          <w:szCs w:val="44"/>
          <w:lang w:val="en-US" w:eastAsia="zh-CN" w:bidi="ar-SA"/>
        </w:rPr>
      </w:pPr>
      <w:r>
        <w:rPr>
          <w:rFonts w:hint="eastAsia" w:ascii="方正小标宋简体" w:hAnsi="方正小标宋简体" w:eastAsia="方正小标宋简体" w:cs="方正小标宋简体"/>
          <w:b w:val="0"/>
          <w:bCs w:val="0"/>
          <w:snapToGrid w:val="0"/>
          <w:color w:val="000000"/>
          <w:kern w:val="0"/>
          <w:sz w:val="44"/>
          <w:szCs w:val="44"/>
          <w:lang w:val="en-US" w:eastAsia="zh-CN" w:bidi="ar-SA"/>
        </w:rPr>
        <w:t>关于做好肃南县高龄津贴发放工作实施方案</w:t>
      </w:r>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left="0" w:firstLine="640" w:firstLineChars="200"/>
        <w:jc w:val="left"/>
        <w:textAlignment w:val="baseline"/>
        <w:rPr>
          <w:rFonts w:hint="eastAsia" w:ascii="仿宋_GB2312" w:hAnsi="仿宋_GB2312" w:eastAsia="仿宋_GB2312" w:cs="仿宋_GB2312"/>
          <w:snapToGrid w:val="0"/>
          <w:color w:val="000000"/>
          <w:kern w:val="0"/>
          <w:sz w:val="32"/>
          <w:szCs w:val="32"/>
          <w:lang w:val="en-US" w:eastAsia="zh-CN"/>
        </w:rPr>
      </w:pPr>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left="0" w:firstLine="640" w:firstLineChars="200"/>
        <w:jc w:val="left"/>
        <w:textAlignment w:val="baseline"/>
        <w:rPr>
          <w:rFonts w:hint="eastAsia" w:ascii="仿宋_GB2312" w:hAnsi="仿宋_GB2312" w:eastAsia="仿宋_GB2312" w:cs="仿宋_GB2312"/>
          <w:snapToGrid w:val="0"/>
          <w:color w:val="000000"/>
          <w:kern w:val="0"/>
          <w:sz w:val="32"/>
          <w:szCs w:val="32"/>
          <w:lang w:val="en-US" w:eastAsia="zh-CN"/>
        </w:rPr>
      </w:pPr>
      <w:r>
        <w:rPr>
          <w:rFonts w:hint="eastAsia" w:ascii="仿宋_GB2312" w:hAnsi="仿宋_GB2312" w:eastAsia="仿宋_GB2312" w:cs="仿宋_GB2312"/>
          <w:snapToGrid w:val="0"/>
          <w:color w:val="000000"/>
          <w:kern w:val="0"/>
          <w:sz w:val="32"/>
          <w:szCs w:val="32"/>
          <w:lang w:val="en-US" w:eastAsia="zh-CN"/>
        </w:rPr>
        <w:t>为深入落实《甘肃省民政厅 甘肃省财政厅 甘肃省公安厅 甘肃省人力资源和社会保障厅关于进一步做好高龄津贴发放工作的通知》（甘民发〔2023〕129号）、《张掖市民政局 张掖市财政局 张掖市公安局 张掖市人力资源和社会保障局关于进一步做好高龄津贴发放工作的通知》（张民发〔2024〕3号）、《肃南裕固族自治县人民政府办公室关于印发2026年县级为民实事实施方案的通知》（肃政办发〔2026〕7号）文件精神，规范全县高龄津贴审核、审批、发放、动态管理全流程，压实乡镇、各部门工作责任，保障肃南户籍80周岁及以上老年人及时足额享受高龄津贴，结合我县实际，制定本方案。</w:t>
      </w:r>
    </w:p>
    <w:p>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一、总体要求</w:t>
      </w:r>
    </w:p>
    <w:p>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坚持以习近平新时代中国特色社会主义思想为指导，深入贯彻习近平总书记关于民政工作重要指示精神，全面落实党中央实施积极应对人口老龄化国家战略决策部署，坚持以人民为中心，坚持尽力而为、量力而行，聚焦高龄老年群体基本生活保障，健全高龄津贴普惠制度，优化政策衔接与部门协同，规范津贴审核发放流程，切实保障高龄老年人基本生活，不断增强高龄老人获得感、幸福感、安全感。</w:t>
      </w:r>
    </w:p>
    <w:p>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firstLine="640" w:firstLineChars="200"/>
        <w:textAlignment w:val="auto"/>
        <w:rPr>
          <w:rFonts w:hint="eastAsia" w:ascii="仿宋_GB2312" w:hAnsi="仿宋_GB2312" w:eastAsia="黑体" w:cs="仿宋_GB2312"/>
          <w:sz w:val="32"/>
          <w:szCs w:val="32"/>
          <w:lang w:eastAsia="zh-CN"/>
        </w:rPr>
      </w:pPr>
      <w:r>
        <w:rPr>
          <w:rFonts w:hint="eastAsia" w:ascii="黑体" w:hAnsi="黑体" w:eastAsia="黑体" w:cs="黑体"/>
          <w:sz w:val="32"/>
          <w:szCs w:val="32"/>
        </w:rPr>
        <w:t>二、对象</w:t>
      </w:r>
      <w:r>
        <w:rPr>
          <w:rFonts w:hint="eastAsia" w:ascii="黑体" w:hAnsi="黑体" w:eastAsia="黑体" w:cs="黑体"/>
          <w:sz w:val="32"/>
          <w:szCs w:val="32"/>
          <w:lang w:eastAsia="zh-CN"/>
        </w:rPr>
        <w:t>及标准</w:t>
      </w:r>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left="0" w:firstLine="640" w:firstLineChars="200"/>
        <w:jc w:val="left"/>
        <w:textAlignment w:val="baseline"/>
        <w:rPr>
          <w:rFonts w:hint="eastAsia" w:ascii="楷体_GB2312" w:hAnsi="楷体_GB2312" w:eastAsia="楷体_GB2312" w:cs="楷体_GB2312"/>
          <w:snapToGrid w:val="0"/>
          <w:color w:val="000000"/>
          <w:kern w:val="0"/>
          <w:sz w:val="32"/>
          <w:szCs w:val="32"/>
          <w:lang w:val="en-US" w:eastAsia="zh-CN"/>
        </w:rPr>
      </w:pPr>
      <w:r>
        <w:rPr>
          <w:rFonts w:hint="eastAsia" w:ascii="楷体_GB2312" w:hAnsi="楷体_GB2312" w:eastAsia="楷体_GB2312" w:cs="楷体_GB2312"/>
          <w:snapToGrid w:val="0"/>
          <w:color w:val="000000"/>
          <w:kern w:val="0"/>
          <w:sz w:val="32"/>
          <w:szCs w:val="32"/>
          <w:lang w:val="en-US" w:eastAsia="zh-CN"/>
        </w:rPr>
        <w:t>（一）发放对象</w:t>
      </w:r>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left="0" w:firstLine="640" w:firstLineChars="200"/>
        <w:jc w:val="left"/>
        <w:textAlignment w:val="baseline"/>
        <w:rPr>
          <w:rFonts w:hint="eastAsia" w:ascii="仿宋_GB2312" w:hAnsi="仿宋_GB2312" w:eastAsia="仿宋_GB2312" w:cs="仿宋_GB2312"/>
          <w:snapToGrid w:val="0"/>
          <w:color w:val="000000"/>
          <w:kern w:val="0"/>
          <w:sz w:val="32"/>
          <w:szCs w:val="32"/>
          <w:lang w:val="en-US" w:eastAsia="zh-CN"/>
        </w:rPr>
      </w:pPr>
      <w:r>
        <w:rPr>
          <w:rFonts w:hint="eastAsia" w:ascii="仿宋_GB2312" w:hAnsi="仿宋_GB2312" w:eastAsia="仿宋_GB2312" w:cs="仿宋_GB2312"/>
          <w:snapToGrid w:val="0"/>
          <w:color w:val="000000"/>
          <w:kern w:val="0"/>
          <w:sz w:val="32"/>
          <w:szCs w:val="32"/>
          <w:lang w:val="en-US" w:eastAsia="zh-CN"/>
        </w:rPr>
        <w:t>具有肃南县户籍、年满80周岁及以上老年人。</w:t>
      </w:r>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left="0" w:firstLine="640" w:firstLineChars="200"/>
        <w:jc w:val="left"/>
        <w:textAlignment w:val="baseline"/>
        <w:rPr>
          <w:rFonts w:hint="eastAsia" w:ascii="黑体" w:hAnsi="黑体" w:eastAsia="黑体" w:cs="黑体"/>
          <w:snapToGrid w:val="0"/>
          <w:color w:val="000000"/>
          <w:kern w:val="0"/>
          <w:sz w:val="32"/>
          <w:szCs w:val="32"/>
          <w:lang w:val="en-US" w:eastAsia="zh-CN"/>
        </w:rPr>
      </w:pPr>
      <w:r>
        <w:rPr>
          <w:rFonts w:hint="eastAsia" w:ascii="楷体_GB2312" w:hAnsi="楷体_GB2312" w:eastAsia="楷体_GB2312" w:cs="楷体_GB2312"/>
          <w:snapToGrid w:val="0"/>
          <w:color w:val="000000"/>
          <w:kern w:val="0"/>
          <w:sz w:val="32"/>
          <w:szCs w:val="32"/>
          <w:lang w:val="en-US" w:eastAsia="zh-CN"/>
        </w:rPr>
        <w:t>（二）发放标准</w:t>
      </w:r>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left="0" w:firstLine="640" w:firstLineChars="200"/>
        <w:jc w:val="left"/>
        <w:textAlignment w:val="baseline"/>
        <w:rPr>
          <w:rFonts w:hint="eastAsia" w:ascii="黑体" w:hAnsi="黑体" w:eastAsia="黑体" w:cs="黑体"/>
          <w:snapToGrid w:val="0"/>
          <w:color w:val="000000"/>
          <w:kern w:val="0"/>
          <w:sz w:val="32"/>
          <w:szCs w:val="32"/>
          <w:lang w:val="en-US" w:eastAsia="zh-CN"/>
        </w:rPr>
      </w:pPr>
      <w:r>
        <w:rPr>
          <w:rFonts w:hint="eastAsia" w:ascii="仿宋_GB2312" w:hAnsi="仿宋_GB2312" w:eastAsia="仿宋_GB2312" w:cs="仿宋_GB2312"/>
          <w:snapToGrid w:val="0"/>
          <w:color w:val="000000"/>
          <w:kern w:val="0"/>
          <w:sz w:val="32"/>
          <w:szCs w:val="32"/>
          <w:lang w:val="en-US" w:eastAsia="zh-CN"/>
        </w:rPr>
        <w:t>80-89周岁老人每人每月发放200元，90周岁及以上老人每人每月发放400元。</w:t>
      </w:r>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left="0" w:firstLine="640" w:firstLineChars="200"/>
        <w:jc w:val="left"/>
        <w:textAlignment w:val="baseline"/>
        <w:rPr>
          <w:rFonts w:hint="eastAsia" w:ascii="黑体" w:hAnsi="黑体" w:eastAsia="黑体" w:cs="黑体"/>
          <w:snapToGrid w:val="0"/>
          <w:color w:val="000000"/>
          <w:kern w:val="0"/>
          <w:sz w:val="32"/>
          <w:szCs w:val="32"/>
          <w:lang w:val="en-US" w:eastAsia="zh-CN"/>
        </w:rPr>
      </w:pPr>
      <w:r>
        <w:rPr>
          <w:rFonts w:hint="eastAsia" w:ascii="黑体" w:hAnsi="黑体" w:eastAsia="黑体" w:cs="黑体"/>
          <w:snapToGrid w:val="0"/>
          <w:color w:val="000000"/>
          <w:kern w:val="0"/>
          <w:sz w:val="32"/>
          <w:szCs w:val="32"/>
          <w:lang w:val="en-US" w:eastAsia="zh-CN"/>
        </w:rPr>
        <w:t>三、发放流程</w:t>
      </w:r>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left="0" w:firstLine="640" w:firstLineChars="200"/>
        <w:jc w:val="left"/>
        <w:textAlignment w:val="baseline"/>
        <w:rPr>
          <w:rFonts w:hint="eastAsia" w:ascii="楷体_GB2312" w:hAnsi="楷体_GB2312" w:eastAsia="楷体_GB2312" w:cs="楷体_GB2312"/>
          <w:snapToGrid w:val="0"/>
          <w:color w:val="000000"/>
          <w:kern w:val="0"/>
          <w:sz w:val="32"/>
          <w:szCs w:val="32"/>
          <w:lang w:val="en-US" w:eastAsia="zh-CN"/>
        </w:rPr>
      </w:pPr>
      <w:r>
        <w:rPr>
          <w:rFonts w:hint="eastAsia" w:ascii="楷体_GB2312" w:hAnsi="楷体_GB2312" w:eastAsia="楷体_GB2312" w:cs="楷体_GB2312"/>
          <w:snapToGrid w:val="0"/>
          <w:color w:val="000000"/>
          <w:kern w:val="0"/>
          <w:sz w:val="32"/>
          <w:szCs w:val="32"/>
          <w:lang w:val="en-US" w:eastAsia="zh-CN"/>
        </w:rPr>
        <w:t>(一)申请</w:t>
      </w:r>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left="0" w:firstLine="640" w:firstLineChars="200"/>
        <w:jc w:val="left"/>
        <w:textAlignment w:val="baseline"/>
        <w:rPr>
          <w:rFonts w:hint="eastAsia" w:ascii="仿宋_GB2312" w:hAnsi="仿宋_GB2312" w:eastAsia="仿宋_GB2312" w:cs="仿宋_GB2312"/>
          <w:snapToGrid w:val="0"/>
          <w:color w:val="000000"/>
          <w:kern w:val="0"/>
          <w:sz w:val="32"/>
          <w:szCs w:val="32"/>
          <w:lang w:val="en-US" w:eastAsia="zh-CN"/>
        </w:rPr>
      </w:pPr>
      <w:r>
        <w:rPr>
          <w:rFonts w:hint="eastAsia" w:ascii="仿宋_GB2312" w:hAnsi="仿宋_GB2312" w:eastAsia="仿宋_GB2312" w:cs="仿宋_GB2312"/>
          <w:snapToGrid w:val="0"/>
          <w:color w:val="000000"/>
          <w:kern w:val="0"/>
          <w:sz w:val="32"/>
          <w:szCs w:val="32"/>
          <w:lang w:val="en-US" w:eastAsia="zh-CN"/>
        </w:rPr>
        <w:t>新增符合高龄津贴发放条件的对象，按照“自愿申请、村(社区)受理、乡镇审核、民政局审批”的程序进行，凡具备领取高龄津贴条件的老年人，均可按照自愿申请的原则，携带本人身份证向所在地村(社区)提出申请。失能失智或行动不便的高龄老年人可由本人亲属、村(社区)工作人员或志愿者代为申请。集中供养的特困高龄老年人可由所在供养机构代为申请。</w:t>
      </w:r>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left="0" w:firstLine="640" w:firstLineChars="200"/>
        <w:jc w:val="left"/>
        <w:textAlignment w:val="baseline"/>
        <w:rPr>
          <w:rFonts w:hint="eastAsia" w:ascii="楷体_GB2312" w:hAnsi="楷体_GB2312" w:eastAsia="楷体_GB2312" w:cs="楷体_GB2312"/>
          <w:snapToGrid w:val="0"/>
          <w:color w:val="000000"/>
          <w:kern w:val="0"/>
          <w:sz w:val="32"/>
          <w:szCs w:val="32"/>
          <w:lang w:val="en-US" w:eastAsia="zh-CN"/>
        </w:rPr>
      </w:pPr>
      <w:r>
        <w:rPr>
          <w:rFonts w:hint="eastAsia" w:ascii="楷体_GB2312" w:hAnsi="楷体_GB2312" w:eastAsia="楷体_GB2312" w:cs="楷体_GB2312"/>
          <w:snapToGrid w:val="0"/>
          <w:color w:val="000000"/>
          <w:kern w:val="0"/>
          <w:sz w:val="32"/>
          <w:szCs w:val="32"/>
          <w:lang w:val="en-US" w:eastAsia="zh-CN"/>
        </w:rPr>
        <w:t>(二)审核</w:t>
      </w:r>
    </w:p>
    <w:p>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村(社区)受理。村(社区)接到申请后，要及时比对申请人基本信息，明确审核意见。对户籍所在地和经常居住地不一致的申请人的审核，需跨行政区域调查核实的，县民政局要协助做好相关协调工作，申请人常住地村(社区)要积极协助审核单位进行调查核实，出具有关审核证明材料。对于受理通过的，要及时报乡镇人民政府审核。</w:t>
      </w:r>
    </w:p>
    <w:p>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乡镇审核。乡镇应当自受理申请之日起5个工作日内，以申请人居民身份证、户口簿上的信息为主要依据，通过向村（居）委会了解情况、入户上门核实、与乡镇派出所户籍信息和卫生系统掌握的死亡人口信息进行比对等方式，核对申请人年龄、户籍及是否健在等信息，提出审核意见，报县民政局审批。</w:t>
      </w:r>
    </w:p>
    <w:p>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县民政局审批。县民政局应当自收到乡镇审核意见和相关材料之日起10个工作日内，与民政局殡葬数据、卫健和人社等部门死亡数据及公安局户籍人口数据进行比对，提出审批意见。县民政局将审批结果通知乡镇，对不符合条件不予批准的，由乡镇告知申请人并说明理由。</w:t>
      </w:r>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left="0" w:firstLine="640" w:firstLineChars="200"/>
        <w:jc w:val="left"/>
        <w:textAlignment w:val="baseline"/>
        <w:rPr>
          <w:rFonts w:hint="eastAsia" w:ascii="仿宋_GB2312" w:hAnsi="仿宋_GB2312" w:eastAsia="仿宋_GB2312" w:cs="仿宋_GB2312"/>
          <w:snapToGrid w:val="0"/>
          <w:color w:val="000000"/>
          <w:kern w:val="0"/>
          <w:sz w:val="32"/>
          <w:szCs w:val="32"/>
          <w:lang w:val="en-US" w:eastAsia="zh-CN"/>
        </w:rPr>
      </w:pPr>
      <w:r>
        <w:rPr>
          <w:rFonts w:hint="eastAsia" w:ascii="仿宋_GB2312" w:hAnsi="仿宋_GB2312" w:eastAsia="仿宋_GB2312" w:cs="仿宋_GB2312"/>
          <w:sz w:val="32"/>
          <w:szCs w:val="32"/>
          <w:lang w:val="en-US" w:eastAsia="zh-CN"/>
        </w:rPr>
        <w:t>4.变更处理。</w:t>
      </w:r>
      <w:r>
        <w:rPr>
          <w:rFonts w:hint="eastAsia" w:ascii="仿宋_GB2312" w:hAnsi="仿宋_GB2312" w:eastAsia="仿宋_GB2312" w:cs="仿宋_GB2312"/>
          <w:snapToGrid w:val="0"/>
          <w:color w:val="000000"/>
          <w:kern w:val="0"/>
          <w:sz w:val="32"/>
          <w:szCs w:val="32"/>
          <w:lang w:val="en-US" w:eastAsia="zh-CN"/>
        </w:rPr>
        <w:t>县内跨县户籍迁移的30日内申请变更，迁出当月津贴由迁出地发放，次月迁入地接续发放。长期异地居住，向户籍地村（居）备案，乡镇定期生存核验，待遇不停发。失联人员超1个月暂停发放，联系核实健在后补发。老人死亡、户籍迁出本县等不符合条件的立即停发，迟报导致多发资金予以追缴。</w:t>
      </w:r>
    </w:p>
    <w:p>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firstLine="640" w:firstLineChars="2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(三)津贴发放</w:t>
      </w:r>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left="0" w:firstLine="640" w:firstLineChars="200"/>
        <w:jc w:val="left"/>
        <w:textAlignment w:val="baseline"/>
        <w:rPr>
          <w:rFonts w:hint="eastAsia" w:ascii="仿宋_GB2312" w:hAnsi="仿宋_GB2312" w:eastAsia="仿宋_GB2312" w:cs="仿宋_GB2312"/>
          <w:snapToGrid w:val="0"/>
          <w:color w:val="000000"/>
          <w:kern w:val="0"/>
          <w:sz w:val="32"/>
          <w:szCs w:val="32"/>
          <w:lang w:val="en-US" w:eastAsia="zh-CN"/>
        </w:rPr>
      </w:pPr>
      <w:r>
        <w:rPr>
          <w:rFonts w:hint="eastAsia" w:ascii="仿宋_GB2312" w:hAnsi="仿宋_GB2312" w:eastAsia="仿宋_GB2312" w:cs="仿宋_GB2312"/>
          <w:sz w:val="32"/>
          <w:szCs w:val="32"/>
          <w:lang w:val="en-US" w:eastAsia="zh-CN"/>
        </w:rPr>
        <w:t>高龄津贴按月实行社会化发放，每月25日前，乡镇将本辖区上月高龄老年人死亡、户口迁移，次月到龄新增等异动情况汇总上报县民政局，由县民政局汇总、审核并经大数据比对后，最终确认发放对象和金额，</w:t>
      </w:r>
      <w:r>
        <w:rPr>
          <w:rFonts w:hint="eastAsia" w:ascii="仿宋_GB2312" w:hAnsi="仿宋_GB2312" w:eastAsia="仿宋_GB2312" w:cs="仿宋_GB2312"/>
          <w:snapToGrid w:val="0"/>
          <w:color w:val="000000"/>
          <w:kern w:val="0"/>
          <w:sz w:val="32"/>
          <w:szCs w:val="32"/>
          <w:lang w:val="en-US" w:eastAsia="zh-CN"/>
        </w:rPr>
        <w:t>每月10日前</w:t>
      </w:r>
      <w:r>
        <w:rPr>
          <w:rFonts w:hint="eastAsia" w:ascii="仿宋_GB2312" w:hAnsi="仿宋_GB2312" w:eastAsia="仿宋_GB2312" w:cs="仿宋_GB2312"/>
          <w:sz w:val="32"/>
          <w:szCs w:val="32"/>
          <w:lang w:val="en-US" w:eastAsia="zh-CN"/>
        </w:rPr>
        <w:t>委托代发银行将津贴直接发到高龄老年人社保卡账户中，</w:t>
      </w:r>
      <w:r>
        <w:rPr>
          <w:rFonts w:hint="eastAsia" w:ascii="仿宋_GB2312" w:hAnsi="仿宋_GB2312" w:eastAsia="仿宋_GB2312" w:cs="仿宋_GB2312"/>
          <w:snapToGrid w:val="0"/>
          <w:color w:val="000000"/>
          <w:kern w:val="0"/>
          <w:sz w:val="32"/>
          <w:szCs w:val="32"/>
          <w:lang w:val="en-US" w:eastAsia="zh-CN"/>
        </w:rPr>
        <w:t>发放备注统一为“甘肃省张掖市肃南县XX年XX月高龄津贴”。</w:t>
      </w:r>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left="0" w:firstLine="640" w:firstLineChars="200"/>
        <w:jc w:val="left"/>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高龄津贴从受理申请且申请人年满80周岁的当月开始计 发，因特殊原因未能及时申请的高龄老年人，可以补发。对已享受高龄津贴的对象，在核查中超过1个月仍然无法取得联系，可暂停发放，待取得联系并核实确认后再予以补发。</w:t>
      </w:r>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left="0" w:firstLine="640" w:firstLineChars="200"/>
        <w:jc w:val="left"/>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有下列情形之一的，应停止发放高龄津贴：</w:t>
      </w:r>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left="0" w:firstLine="640" w:firstLineChars="200"/>
        <w:jc w:val="left"/>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1.高龄老年人死亡的（不超过3个月停发视为合规）；</w:t>
      </w:r>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left="0" w:firstLine="640" w:firstLineChars="200"/>
        <w:jc w:val="left"/>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2.高龄老年人户籍迁出户籍所在地的；</w:t>
      </w:r>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left="0" w:firstLine="640" w:firstLineChars="200"/>
        <w:jc w:val="left"/>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3.申请材料弄虚作假的；</w:t>
      </w:r>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left="0" w:firstLine="640" w:firstLineChars="200"/>
        <w:jc w:val="left"/>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4.其他不符合发放条件的。</w:t>
      </w:r>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left="0" w:firstLine="640" w:firstLineChars="200"/>
        <w:jc w:val="left"/>
        <w:textAlignment w:val="baseline"/>
        <w:rPr>
          <w:rFonts w:hint="eastAsia" w:ascii="仿宋_GB2312" w:hAnsi="仿宋_GB2312" w:eastAsia="仿宋_GB2312" w:cs="仿宋_GB2312"/>
          <w:snapToGrid w:val="0"/>
          <w:color w:val="000000"/>
          <w:kern w:val="0"/>
          <w:sz w:val="32"/>
          <w:szCs w:val="32"/>
          <w:lang w:val="en-US" w:eastAsia="zh-CN"/>
        </w:rPr>
      </w:pPr>
      <w:r>
        <w:rPr>
          <w:rFonts w:hint="eastAsia" w:ascii="仿宋_GB2312" w:hAnsi="仿宋_GB2312" w:eastAsia="仿宋_GB2312" w:cs="仿宋_GB2312"/>
          <w:sz w:val="32"/>
          <w:szCs w:val="32"/>
          <w:lang w:val="en-US" w:eastAsia="zh-CN"/>
        </w:rPr>
        <w:t>经核实，享受高龄津贴的老年人因死亡或户籍迁移未及时办理相关手续以及其他原因造成资金多发且银行余额足够的，发放部门委托资金代发银行予以在线追缴退回。如未能足额及时扣缴退回的，通过其他渠道予以追缴退回。</w:t>
      </w:r>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left="0" w:firstLine="640" w:firstLineChars="200"/>
        <w:jc w:val="left"/>
        <w:textAlignment w:val="baseline"/>
        <w:rPr>
          <w:rFonts w:hint="eastAsia" w:ascii="仿宋_GB2312" w:hAnsi="仿宋_GB2312" w:eastAsia="仿宋_GB2312" w:cs="仿宋_GB2312"/>
          <w:snapToGrid w:val="0"/>
          <w:color w:val="000000"/>
          <w:kern w:val="0"/>
          <w:sz w:val="32"/>
          <w:szCs w:val="32"/>
          <w:lang w:val="en-US" w:eastAsia="zh-CN"/>
        </w:rPr>
      </w:pPr>
      <w:r>
        <w:rPr>
          <w:rFonts w:hint="eastAsia" w:ascii="黑体" w:hAnsi="黑体" w:eastAsia="黑体" w:cs="黑体"/>
          <w:snapToGrid w:val="0"/>
          <w:color w:val="000000"/>
          <w:kern w:val="0"/>
          <w:sz w:val="32"/>
          <w:szCs w:val="32"/>
          <w:lang w:val="en-US" w:eastAsia="zh-CN"/>
        </w:rPr>
        <w:t>四、工作职责划分</w:t>
      </w:r>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left="0" w:firstLine="640" w:firstLineChars="200"/>
        <w:jc w:val="left"/>
        <w:textAlignment w:val="baseline"/>
        <w:rPr>
          <w:rFonts w:hint="eastAsia" w:ascii="仿宋_GB2312" w:hAnsi="仿宋_GB2312" w:eastAsia="仿宋_GB2312" w:cs="仿宋_GB2312"/>
          <w:snapToGrid w:val="0"/>
          <w:color w:val="000000"/>
          <w:kern w:val="0"/>
          <w:sz w:val="32"/>
          <w:szCs w:val="32"/>
          <w:lang w:val="en-US" w:eastAsia="zh-CN"/>
        </w:rPr>
      </w:pPr>
      <w:r>
        <w:rPr>
          <w:rFonts w:hint="eastAsia" w:ascii="仿宋_GB2312" w:hAnsi="仿宋_GB2312" w:eastAsia="仿宋_GB2312" w:cs="仿宋_GB2312"/>
          <w:snapToGrid w:val="0"/>
          <w:color w:val="000000"/>
          <w:kern w:val="0"/>
          <w:sz w:val="32"/>
          <w:szCs w:val="32"/>
          <w:lang w:val="en-US" w:eastAsia="zh-CN"/>
        </w:rPr>
        <w:t>各乡镇负责辖区高龄老人信息摸排核实、未参保老人申请受理审核、待遇变更备案、政策宣传及档案台账管理。县民政局作为牵头部门，统筹协调县财政、公安、人社等部门，开展跨部门数据比对、人员终审、资金发放、业务指导与政策培训，县财政局负责资金保障拨付与监管，县公安局提供户籍及户口变动信息，县人社局推送参保人员信息并配合信息交叉核验，共同做好高龄津贴相关工作。</w:t>
      </w:r>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left="0" w:firstLine="640" w:firstLineChars="200"/>
        <w:jc w:val="left"/>
        <w:textAlignment w:val="baseline"/>
        <w:rPr>
          <w:rFonts w:hint="eastAsia" w:ascii="仿宋_GB2312" w:hAnsi="仿宋_GB2312" w:eastAsia="仿宋_GB2312" w:cs="仿宋_GB2312"/>
          <w:snapToGrid w:val="0"/>
          <w:color w:val="000000"/>
          <w:kern w:val="0"/>
          <w:sz w:val="32"/>
          <w:szCs w:val="32"/>
          <w:lang w:val="en-US" w:eastAsia="zh-CN"/>
        </w:rPr>
      </w:pPr>
      <w:r>
        <w:rPr>
          <w:rFonts w:hint="eastAsia" w:ascii="黑体" w:hAnsi="黑体" w:eastAsia="黑体" w:cs="黑体"/>
          <w:snapToGrid w:val="0"/>
          <w:color w:val="000000"/>
          <w:kern w:val="0"/>
          <w:sz w:val="32"/>
          <w:szCs w:val="32"/>
          <w:lang w:val="en-US" w:eastAsia="zh-CN"/>
        </w:rPr>
        <w:t>五、工作保障措施</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baseline"/>
        <w:rPr>
          <w:rFonts w:hint="eastAsia" w:ascii="仿宋_GB2312" w:hAnsi="仿宋_GB2312" w:eastAsia="仿宋_GB2312" w:cs="仿宋_GB2312"/>
          <w:snapToGrid w:val="0"/>
          <w:color w:val="000000"/>
          <w:kern w:val="0"/>
          <w:sz w:val="32"/>
          <w:szCs w:val="32"/>
          <w:lang w:val="en-US" w:eastAsia="zh-CN"/>
        </w:rPr>
      </w:pPr>
      <w:r>
        <w:rPr>
          <w:rFonts w:hint="eastAsia" w:ascii="楷体_GB2312" w:hAnsi="楷体_GB2312" w:eastAsia="楷体_GB2312" w:cs="楷体_GB2312"/>
          <w:snapToGrid w:val="0"/>
          <w:color w:val="000000"/>
          <w:kern w:val="0"/>
          <w:sz w:val="32"/>
          <w:szCs w:val="32"/>
          <w:lang w:val="en-US" w:eastAsia="zh-CN"/>
        </w:rPr>
        <w:t>（一）健全动态管理机制。</w:t>
      </w:r>
      <w:r>
        <w:rPr>
          <w:rFonts w:hint="eastAsia" w:ascii="仿宋_GB2312" w:hAnsi="仿宋_GB2312" w:eastAsia="仿宋_GB2312" w:cs="仿宋_GB2312"/>
          <w:snapToGrid w:val="0"/>
          <w:color w:val="000000"/>
          <w:kern w:val="0"/>
          <w:sz w:val="32"/>
          <w:szCs w:val="32"/>
          <w:lang w:val="en-US" w:eastAsia="zh-CN"/>
        </w:rPr>
        <w:t>县民政局定期联合公安、人社开展数据比对；各乡镇坚持常态化入户摸排，每月更新人员增减、变更信息，做到应发尽发、应停尽停，不漏发、不多发。</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baseline"/>
        <w:rPr>
          <w:rFonts w:hint="eastAsia" w:ascii="仿宋_GB2312" w:hAnsi="仿宋_GB2312" w:eastAsia="仿宋_GB2312" w:cs="仿宋_GB2312"/>
          <w:snapToGrid w:val="0"/>
          <w:color w:val="000000"/>
          <w:kern w:val="0"/>
          <w:sz w:val="32"/>
          <w:szCs w:val="32"/>
          <w:lang w:val="en-US" w:eastAsia="zh-CN"/>
        </w:rPr>
      </w:pPr>
      <w:r>
        <w:rPr>
          <w:rFonts w:hint="eastAsia" w:ascii="楷体_GB2312" w:hAnsi="楷体_GB2312" w:eastAsia="楷体_GB2312" w:cs="楷体_GB2312"/>
          <w:snapToGrid w:val="0"/>
          <w:color w:val="000000"/>
          <w:kern w:val="0"/>
          <w:sz w:val="32"/>
          <w:szCs w:val="32"/>
          <w:lang w:val="en-US" w:eastAsia="zh-CN"/>
        </w:rPr>
        <w:t>（二）规范档案台账管理。</w:t>
      </w:r>
      <w:r>
        <w:rPr>
          <w:rFonts w:hint="eastAsia" w:ascii="仿宋_GB2312" w:hAnsi="仿宋_GB2312" w:eastAsia="仿宋_GB2312" w:cs="仿宋_GB2312"/>
          <w:snapToGrid w:val="0"/>
          <w:color w:val="000000"/>
          <w:kern w:val="0"/>
          <w:sz w:val="32"/>
          <w:szCs w:val="32"/>
          <w:lang w:val="en-US" w:eastAsia="zh-CN"/>
        </w:rPr>
        <w:t>县民政局、各乡镇分别建立高龄津贴基础台账，完整留存高龄老人花名册、每月死亡退出（新增）花名册、发放银行回单、变更、停发、追缴资料，档案完整可追溯。</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baseline"/>
        <w:rPr>
          <w:rFonts w:hint="eastAsia" w:ascii="仿宋_GB2312" w:hAnsi="仿宋_GB2312" w:eastAsia="仿宋_GB2312" w:cs="仿宋_GB2312"/>
          <w:snapToGrid w:val="0"/>
          <w:color w:val="000000"/>
          <w:kern w:val="0"/>
          <w:sz w:val="32"/>
          <w:szCs w:val="32"/>
          <w:lang w:val="en-US" w:eastAsia="zh-CN"/>
        </w:rPr>
      </w:pPr>
      <w:r>
        <w:rPr>
          <w:rFonts w:hint="eastAsia" w:ascii="楷体_GB2312" w:hAnsi="楷体_GB2312" w:eastAsia="楷体_GB2312" w:cs="楷体_GB2312"/>
          <w:snapToGrid w:val="0"/>
          <w:color w:val="000000"/>
          <w:kern w:val="0"/>
          <w:sz w:val="32"/>
          <w:szCs w:val="32"/>
          <w:lang w:val="en-US" w:eastAsia="zh-CN"/>
        </w:rPr>
        <w:t>（三）强化监督检查。</w:t>
      </w:r>
      <w:r>
        <w:rPr>
          <w:rFonts w:hint="eastAsia" w:ascii="仿宋_GB2312" w:hAnsi="仿宋_GB2312" w:eastAsia="仿宋_GB2312" w:cs="仿宋_GB2312"/>
          <w:snapToGrid w:val="0"/>
          <w:color w:val="000000"/>
          <w:kern w:val="0"/>
          <w:sz w:val="32"/>
          <w:szCs w:val="32"/>
          <w:lang w:val="en-US" w:eastAsia="zh-CN"/>
        </w:rPr>
        <w:t>县民政局不定期开展抽查，重点核查资格审核、资金发放准确性；会同县财政局强化资金监管，严禁挤占挪用；对虚报冒领津贴的依法追回资金。</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baseline"/>
        <w:rPr>
          <w:rFonts w:hint="eastAsia" w:ascii="楷体_GB2312" w:hAnsi="楷体_GB2312" w:eastAsia="楷体_GB2312" w:cs="楷体_GB2312"/>
          <w:snapToGrid w:val="0"/>
          <w:color w:val="000000"/>
          <w:kern w:val="0"/>
          <w:sz w:val="32"/>
          <w:szCs w:val="32"/>
          <w:lang w:val="en-US" w:eastAsia="zh-CN"/>
        </w:rPr>
      </w:pPr>
      <w:r>
        <w:rPr>
          <w:rFonts w:hint="eastAsia" w:ascii="楷体_GB2312" w:hAnsi="楷体_GB2312" w:eastAsia="楷体_GB2312" w:cs="楷体_GB2312"/>
          <w:snapToGrid w:val="0"/>
          <w:color w:val="000000"/>
          <w:kern w:val="0"/>
          <w:sz w:val="32"/>
          <w:szCs w:val="32"/>
          <w:lang w:val="en-US" w:eastAsia="zh-CN"/>
        </w:rPr>
        <w:t>（四）广泛开展政策宣传。</w:t>
      </w:r>
      <w:r>
        <w:rPr>
          <w:rFonts w:hint="eastAsia" w:ascii="仿宋_GB2312" w:hAnsi="仿宋_GB2312" w:eastAsia="仿宋_GB2312" w:cs="仿宋_GB2312"/>
          <w:snapToGrid w:val="0"/>
          <w:color w:val="000000"/>
          <w:kern w:val="0"/>
          <w:sz w:val="32"/>
          <w:szCs w:val="32"/>
          <w:lang w:val="en-US" w:eastAsia="zh-CN"/>
        </w:rPr>
        <w:t>县民政局、各乡镇要通过公众号、宣传册、村社微信群、入户宣讲等方式，宣传高龄津贴申领条件、流程、标准，提升群众知晓度，方便老年人办事</w:t>
      </w:r>
      <w:r>
        <w:rPr>
          <w:rFonts w:hint="eastAsia" w:ascii="楷体_GB2312" w:hAnsi="楷体_GB2312" w:eastAsia="楷体_GB2312" w:cs="楷体_GB2312"/>
          <w:snapToGrid w:val="0"/>
          <w:color w:val="000000"/>
          <w:kern w:val="0"/>
          <w:sz w:val="32"/>
          <w:szCs w:val="32"/>
          <w:lang w:val="en-US" w:eastAsia="zh-CN"/>
        </w:rPr>
        <w:t>。</w:t>
      </w:r>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left="0" w:firstLine="640" w:firstLineChars="200"/>
        <w:jc w:val="left"/>
        <w:textAlignment w:val="baseline"/>
        <w:rPr>
          <w:rFonts w:hint="eastAsia" w:ascii="仿宋_GB2312" w:hAnsi="仿宋_GB2312" w:eastAsia="仿宋_GB2312" w:cs="仿宋_GB2312"/>
          <w:snapToGrid w:val="0"/>
          <w:color w:val="000000"/>
          <w:kern w:val="0"/>
          <w:sz w:val="32"/>
          <w:szCs w:val="32"/>
          <w:lang w:val="en-US" w:eastAsia="zh-CN"/>
        </w:rPr>
      </w:pPr>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left="0" w:firstLine="640" w:firstLineChars="200"/>
        <w:jc w:val="left"/>
        <w:textAlignment w:val="baseline"/>
        <w:rPr>
          <w:rFonts w:hint="eastAsia" w:ascii="仿宋_GB2312" w:hAnsi="仿宋_GB2312" w:eastAsia="仿宋_GB2312" w:cs="仿宋_GB2312"/>
          <w:snapToGrid w:val="0"/>
          <w:color w:val="000000"/>
          <w:kern w:val="0"/>
          <w:sz w:val="32"/>
          <w:szCs w:val="32"/>
          <w:lang w:val="en-US" w:eastAsia="zh-CN"/>
        </w:rPr>
      </w:pPr>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left="0" w:firstLine="640" w:firstLineChars="200"/>
        <w:jc w:val="left"/>
        <w:textAlignment w:val="baseline"/>
        <w:rPr>
          <w:rFonts w:hint="eastAsia" w:ascii="仿宋_GB2312" w:hAnsi="仿宋_GB2312" w:eastAsia="仿宋_GB2312" w:cs="仿宋_GB2312"/>
          <w:snapToGrid w:val="0"/>
          <w:color w:val="000000"/>
          <w:kern w:val="0"/>
          <w:sz w:val="32"/>
          <w:szCs w:val="32"/>
          <w:lang w:val="en-US" w:eastAsia="zh-CN"/>
        </w:rPr>
      </w:pPr>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left="0" w:firstLine="640" w:firstLineChars="200"/>
        <w:jc w:val="left"/>
        <w:textAlignment w:val="baseline"/>
        <w:rPr>
          <w:rFonts w:hint="eastAsia" w:ascii="仿宋_GB2312" w:hAnsi="仿宋_GB2312" w:eastAsia="仿宋_GB2312" w:cs="仿宋_GB2312"/>
          <w:snapToGrid w:val="0"/>
          <w:color w:val="000000"/>
          <w:kern w:val="0"/>
          <w:sz w:val="32"/>
          <w:szCs w:val="32"/>
          <w:lang w:val="en-US" w:eastAsia="zh-CN"/>
        </w:rPr>
      </w:pPr>
    </w:p>
    <w:p>
      <w:pPr>
        <w:keepNext w:val="0"/>
        <w:keepLines w:val="0"/>
        <w:pageBreakBefore w:val="0"/>
        <w:kinsoku/>
        <w:wordWrap/>
        <w:overflowPunct/>
        <w:topLinePunct w:val="0"/>
        <w:autoSpaceDE/>
        <w:autoSpaceDN/>
        <w:bidi w:val="0"/>
        <w:spacing w:beforeAutospacing="0" w:afterAutospacing="0" w:line="600" w:lineRule="exact"/>
        <w:ind w:left="0"/>
        <w:rPr>
          <w:rFonts w:hint="eastAsia"/>
          <w:lang w:val="en-US" w:eastAsia="zh-CN"/>
        </w:rPr>
      </w:pPr>
    </w:p>
    <w:p>
      <w:pPr>
        <w:keepNext w:val="0"/>
        <w:keepLines w:val="0"/>
        <w:pageBreakBefore w:val="0"/>
        <w:kinsoku/>
        <w:wordWrap/>
        <w:overflowPunct/>
        <w:topLinePunct w:val="0"/>
        <w:autoSpaceDE/>
        <w:autoSpaceDN/>
        <w:bidi w:val="0"/>
        <w:spacing w:beforeAutospacing="0" w:afterAutospacing="0" w:line="600" w:lineRule="exact"/>
        <w:ind w:left="0"/>
      </w:pPr>
    </w:p>
    <w:p>
      <w:pPr>
        <w:keepNext w:val="0"/>
        <w:keepLines w:val="0"/>
        <w:pageBreakBefore w:val="0"/>
        <w:kinsoku/>
        <w:wordWrap/>
        <w:overflowPunct/>
        <w:topLinePunct w:val="0"/>
        <w:autoSpaceDE/>
        <w:autoSpaceDN/>
        <w:bidi w:val="0"/>
        <w:spacing w:beforeAutospacing="0" w:afterAutospacing="0" w:line="600" w:lineRule="exact"/>
        <w:ind w:left="0"/>
      </w:pPr>
    </w:p>
    <w:p>
      <w:pPr>
        <w:keepNext w:val="0"/>
        <w:keepLines w:val="0"/>
        <w:pageBreakBefore w:val="0"/>
        <w:kinsoku/>
        <w:wordWrap/>
        <w:overflowPunct/>
        <w:topLinePunct w:val="0"/>
        <w:autoSpaceDE/>
        <w:autoSpaceDN/>
        <w:bidi w:val="0"/>
        <w:spacing w:beforeAutospacing="0" w:afterAutospacing="0" w:line="600" w:lineRule="exact"/>
        <w:ind w:left="0"/>
      </w:pPr>
    </w:p>
    <w:p>
      <w:pPr>
        <w:keepNext w:val="0"/>
        <w:keepLines w:val="0"/>
        <w:pageBreakBefore w:val="0"/>
        <w:kinsoku/>
        <w:wordWrap/>
        <w:overflowPunct/>
        <w:topLinePunct w:val="0"/>
        <w:autoSpaceDE/>
        <w:autoSpaceDN/>
        <w:bidi w:val="0"/>
        <w:adjustRightInd/>
        <w:snapToGrid/>
        <w:spacing w:line="560" w:lineRule="exact"/>
        <w:ind w:left="0" w:leftChars="0"/>
        <w:textAlignment w:val="auto"/>
        <w:rPr>
          <w:rFonts w:hint="eastAsia" w:ascii="仿宋_GB2312" w:eastAsia="仿宋_GB2312"/>
          <w:sz w:val="28"/>
          <w:szCs w:val="28"/>
          <w:u w:val="single"/>
        </w:rPr>
      </w:pPr>
      <w:r>
        <w:rPr>
          <w:rFonts w:hint="eastAsia" w:ascii="仿宋_GB2312" w:eastAsia="仿宋_GB2312"/>
          <w:sz w:val="28"/>
          <w:szCs w:val="28"/>
          <w:u w:val="single"/>
        </w:rPr>
        <w:t xml:space="preserve">                     </w:t>
      </w:r>
      <w:r>
        <w:rPr>
          <w:rFonts w:hint="eastAsia" w:ascii="仿宋_GB2312" w:eastAsia="仿宋_GB2312"/>
          <w:sz w:val="28"/>
          <w:szCs w:val="28"/>
          <w:u w:val="single"/>
          <w:lang w:val="en-US" w:eastAsia="zh-CN"/>
        </w:rPr>
        <w:t xml:space="preserve">   </w:t>
      </w:r>
      <w:r>
        <w:rPr>
          <w:rFonts w:hint="eastAsia" w:ascii="仿宋_GB2312" w:eastAsia="仿宋_GB2312"/>
          <w:sz w:val="28"/>
          <w:szCs w:val="28"/>
          <w:u w:val="single"/>
        </w:rPr>
        <w:t xml:space="preserve">                   </w:t>
      </w:r>
      <w:r>
        <w:rPr>
          <w:rFonts w:hint="eastAsia" w:ascii="仿宋_GB2312" w:eastAsia="仿宋_GB2312"/>
          <w:sz w:val="28"/>
          <w:szCs w:val="28"/>
          <w:u w:val="single"/>
          <w:lang w:val="en-US" w:eastAsia="zh-CN"/>
        </w:rPr>
        <w:t xml:space="preserve">  </w:t>
      </w:r>
      <w:r>
        <w:rPr>
          <w:rFonts w:hint="eastAsia" w:ascii="仿宋_GB2312" w:eastAsia="仿宋_GB2312"/>
          <w:sz w:val="28"/>
          <w:szCs w:val="28"/>
          <w:u w:val="single"/>
        </w:rPr>
        <w:t xml:space="preserve">                  </w:t>
      </w:r>
    </w:p>
    <w:p>
      <w:pPr>
        <w:keepNext w:val="0"/>
        <w:keepLines w:val="0"/>
        <w:pageBreakBefore w:val="0"/>
        <w:kinsoku/>
        <w:wordWrap/>
        <w:overflowPunct/>
        <w:topLinePunct w:val="0"/>
        <w:autoSpaceDE/>
        <w:autoSpaceDN/>
        <w:bidi w:val="0"/>
        <w:adjustRightInd/>
        <w:snapToGrid/>
        <w:spacing w:line="560" w:lineRule="exact"/>
        <w:ind w:left="980" w:leftChars="0" w:hanging="980" w:hangingChars="350"/>
        <w:textAlignment w:val="auto"/>
      </w:pPr>
      <w:r>
        <w:rPr>
          <w:rFonts w:hint="eastAsia" w:ascii="仿宋_GB2312" w:eastAsia="仿宋_GB2312"/>
          <w:sz w:val="28"/>
          <w:szCs w:val="28"/>
          <w:u w:val="single"/>
        </w:rPr>
        <w:t xml:space="preserve"> </w:t>
      </w:r>
      <w:r>
        <w:rPr>
          <w:rFonts w:hint="eastAsia" w:ascii="仿宋_GB2312" w:hAnsi="宋体" w:eastAsia="仿宋_GB2312"/>
          <w:sz w:val="28"/>
          <w:szCs w:val="28"/>
          <w:u w:val="single"/>
        </w:rPr>
        <w:t>肃南裕固族自治县民政局                   202</w:t>
      </w:r>
      <w:r>
        <w:rPr>
          <w:rFonts w:hint="eastAsia" w:ascii="仿宋_GB2312" w:hAnsi="宋体" w:eastAsia="仿宋_GB2312"/>
          <w:sz w:val="28"/>
          <w:szCs w:val="28"/>
          <w:u w:val="single"/>
          <w:lang w:val="en-US" w:eastAsia="zh-CN"/>
        </w:rPr>
        <w:t>6</w:t>
      </w:r>
      <w:r>
        <w:rPr>
          <w:rFonts w:hint="eastAsia" w:ascii="仿宋_GB2312" w:hAnsi="宋体" w:eastAsia="仿宋_GB2312"/>
          <w:sz w:val="28"/>
          <w:szCs w:val="28"/>
          <w:u w:val="single"/>
        </w:rPr>
        <w:t>年</w:t>
      </w:r>
      <w:r>
        <w:rPr>
          <w:rFonts w:hint="eastAsia" w:ascii="仿宋_GB2312" w:hAnsi="宋体" w:eastAsia="仿宋_GB2312"/>
          <w:sz w:val="28"/>
          <w:szCs w:val="28"/>
          <w:u w:val="single"/>
          <w:lang w:val="en-US" w:eastAsia="zh-CN"/>
        </w:rPr>
        <w:t>9</w:t>
      </w:r>
      <w:r>
        <w:rPr>
          <w:rFonts w:hint="eastAsia" w:ascii="仿宋_GB2312" w:hAnsi="宋体" w:eastAsia="仿宋_GB2312"/>
          <w:sz w:val="28"/>
          <w:szCs w:val="28"/>
          <w:u w:val="single"/>
        </w:rPr>
        <w:t>月</w:t>
      </w:r>
      <w:r>
        <w:rPr>
          <w:rFonts w:hint="eastAsia" w:ascii="仿宋_GB2312" w:hAnsi="宋体" w:eastAsia="仿宋_GB2312"/>
          <w:sz w:val="28"/>
          <w:szCs w:val="28"/>
          <w:u w:val="single"/>
          <w:lang w:val="en-US" w:eastAsia="zh-CN"/>
        </w:rPr>
        <w:t>**</w:t>
      </w:r>
      <w:r>
        <w:rPr>
          <w:rFonts w:hint="eastAsia" w:ascii="仿宋_GB2312" w:hAnsi="宋体" w:eastAsia="仿宋_GB2312"/>
          <w:sz w:val="28"/>
          <w:szCs w:val="28"/>
          <w:u w:val="single"/>
        </w:rPr>
        <w:t>日印</w:t>
      </w:r>
      <w:r>
        <w:rPr>
          <w:rFonts w:hint="eastAsia" w:ascii="仿宋_GB2312" w:hAnsi="宋体" w:eastAsia="仿宋_GB2312"/>
          <w:sz w:val="28"/>
          <w:szCs w:val="28"/>
          <w:u w:val="single"/>
          <w:lang w:val="en-US" w:eastAsia="zh-CN"/>
        </w:rPr>
        <w:t>发</w:t>
      </w:r>
      <w:r>
        <w:rPr>
          <w:rFonts w:hint="eastAsia" w:ascii="仿宋_GB2312" w:hAnsi="宋体" w:eastAsia="仿宋_GB2312"/>
          <w:sz w:val="28"/>
          <w:szCs w:val="28"/>
          <w:u w:val="single"/>
        </w:rPr>
        <w:t xml:space="preserve"> </w:t>
      </w:r>
      <w:r>
        <w:rPr>
          <w:rFonts w:hint="eastAsia" w:ascii="仿宋_GB2312" w:hAnsi="宋体" w:eastAsia="仿宋_GB2312"/>
          <w:sz w:val="28"/>
          <w:szCs w:val="28"/>
          <w:u w:val="single"/>
          <w:lang w:val="en-US" w:eastAsia="zh-CN"/>
        </w:rPr>
        <w:t xml:space="preserve"> </w:t>
      </w:r>
      <w:r>
        <w:rPr>
          <w:rFonts w:hint="eastAsia" w:ascii="仿宋_GB2312" w:hAnsi="宋体" w:eastAsia="仿宋_GB2312"/>
          <w:sz w:val="28"/>
          <w:szCs w:val="28"/>
          <w:u w:val="single"/>
        </w:rPr>
        <w:t xml:space="preserve"> </w:t>
      </w:r>
      <w:bookmarkStart w:id="0" w:name="_GoBack"/>
      <w:bookmarkEnd w:id="0"/>
    </w:p>
    <w:sectPr>
      <w:footerReference r:id="rId3" w:type="default"/>
      <w:pgSz w:w="11906" w:h="16838"/>
      <w:pgMar w:top="1984" w:right="1587" w:bottom="1587"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234" w:lineRule="auto"/>
      <w:rPr>
        <w:rFonts w:ascii="宋体" w:hAnsi="宋体" w:eastAsia="宋体" w:cs="宋体"/>
        <w:sz w:val="30"/>
        <w:szCs w:val="30"/>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6C27D20"/>
    <w:rsid w:val="1B304346"/>
    <w:rsid w:val="3FE730A1"/>
    <w:rsid w:val="43FF6C84"/>
    <w:rsid w:val="578D4792"/>
    <w:rsid w:val="76C27D20"/>
    <w:rsid w:val="7AD621B0"/>
    <w:rsid w:val="E9CF4474"/>
    <w:rsid w:val="F3BAEA32"/>
    <w:rsid w:val="FD7F01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Body Text"/>
    <w:basedOn w:val="1"/>
    <w:semiHidden/>
    <w:qFormat/>
    <w:uiPriority w:val="0"/>
    <w:rPr>
      <w:rFonts w:ascii="Arial" w:hAnsi="Arial" w:eastAsia="Arial" w:cs="Arial"/>
      <w:sz w:val="21"/>
      <w:szCs w:val="21"/>
      <w:lang w:val="en-US" w:eastAsia="en-US" w:bidi="ar-SA"/>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2311</Words>
  <Characters>2359</Characters>
  <Lines>0</Lines>
  <Paragraphs>0</Paragraphs>
  <TotalTime>0</TotalTime>
  <ScaleCrop>false</ScaleCrop>
  <LinksUpToDate>false</LinksUpToDate>
  <CharactersWithSpaces>2366</CharactersWithSpaces>
  <Application>WPS Office_12.8.2.1113_F1E327BC-269C-435d-A152-05C5408002CA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2026-09-16T23:07:00Z</dcterms:created>
  <dc:creator>胖头猫</dc:creator>
  <cp:lastModifiedBy>Miss_Alisa</cp:lastModifiedBy>
  <cp:lastPrinted>2026-09-21T10:36:00Z</cp:lastPrinted>
  <dcterms:modified xsi:type="dcterms:W3CDTF">2026-09-21T16:10:23Z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2052-12.8.2.1113</vt:lpwstr>
  </property>
  <property fmtid="{D5CDD505-2E9C-101B-9397-08002B2CF9AE}" pid="3" name="ICV">
    <vt:lpwstr>EE3C3F9A2ACC479498AC78561F381BB9_11</vt:lpwstr>
  </property>
  <property fmtid="{D5CDD505-2E9C-101B-9397-08002B2CF9AE}" pid="4" name="KSOTemplateDocerSaveRecord">
    <vt:lpwstr>eyJoZGlkIjoiYzBjYmExMWZlMjlkYjdhMDcyNWM4NTFjMzNmMTE3YTEiLCJ1c2VySWQiOiI2NTI0NjcyNTMifQ==</vt:lpwstr>
  </property>
</Properties>
</file>