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B9D20">
      <w:pPr>
        <w:keepNext w:val="0"/>
        <w:keepLines w:val="0"/>
        <w:pageBreakBefore w:val="0"/>
        <w:widowControl w:val="0"/>
        <w:kinsoku/>
        <w:wordWrap/>
        <w:overflowPunct/>
        <w:topLinePunct w:val="0"/>
        <w:autoSpaceDE/>
        <w:autoSpaceDN/>
        <w:bidi w:val="0"/>
        <w:adjustRightInd/>
        <w:snapToGrid/>
        <w:spacing w:line="560" w:lineRule="exact"/>
        <w:ind w:right="0" w:firstLine="1320" w:firstLineChars="300"/>
        <w:jc w:val="both"/>
        <w:textAlignment w:val="auto"/>
        <w:rPr>
          <w:rFonts w:hint="eastAsia" w:eastAsia="方正小标宋简体"/>
          <w:sz w:val="44"/>
          <w:szCs w:val="44"/>
          <w:lang w:val="en-US" w:eastAsia="zh-CN"/>
        </w:rPr>
      </w:pPr>
    </w:p>
    <w:p w14:paraId="0BC6EFE9">
      <w:pPr>
        <w:keepNext w:val="0"/>
        <w:keepLines w:val="0"/>
        <w:pageBreakBefore w:val="0"/>
        <w:widowControl w:val="0"/>
        <w:kinsoku/>
        <w:wordWrap/>
        <w:overflowPunct/>
        <w:topLinePunct w:val="0"/>
        <w:autoSpaceDE/>
        <w:autoSpaceDN/>
        <w:bidi w:val="0"/>
        <w:adjustRightInd/>
        <w:snapToGrid/>
        <w:spacing w:line="560" w:lineRule="exact"/>
        <w:ind w:right="0" w:firstLine="1320" w:firstLineChars="300"/>
        <w:jc w:val="both"/>
        <w:textAlignment w:val="auto"/>
        <w:rPr>
          <w:rFonts w:hint="default" w:eastAsia="方正小标宋简体"/>
          <w:sz w:val="44"/>
          <w:szCs w:val="44"/>
          <w:lang w:val="en-US" w:eastAsia="zh-CN"/>
        </w:rPr>
      </w:pPr>
      <w:r>
        <w:rPr>
          <w:rFonts w:hint="eastAsia" w:eastAsia="方正小标宋简体"/>
          <w:sz w:val="44"/>
          <w:szCs w:val="44"/>
          <w:lang w:val="en-US" w:eastAsia="zh-CN"/>
        </w:rPr>
        <w:t>肃南县发改局     肃南县住建局</w:t>
      </w:r>
    </w:p>
    <w:p w14:paraId="774AB687">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关于肃南县普通住宅小区（含保障性住房）</w:t>
      </w:r>
    </w:p>
    <w:p w14:paraId="28E94DB9">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物业服务收费</w:t>
      </w:r>
      <w:r>
        <w:rPr>
          <w:rFonts w:hint="eastAsia" w:ascii="方正小标宋简体" w:hAnsi="方正小标宋简体" w:eastAsia="方正小标宋简体" w:cs="方正小标宋简体"/>
          <w:sz w:val="44"/>
          <w:szCs w:val="44"/>
          <w:lang w:val="en-US" w:eastAsia="zh-CN"/>
        </w:rPr>
        <w:t>基准价方案</w:t>
      </w:r>
    </w:p>
    <w:p w14:paraId="7037E594">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eastAsia" w:eastAsia="方正小标宋简体"/>
          <w:sz w:val="44"/>
          <w:szCs w:val="44"/>
          <w:lang w:val="en-US" w:eastAsia="zh-CN"/>
        </w:rPr>
      </w:pPr>
      <w:r>
        <w:rPr>
          <w:rFonts w:hint="eastAsia" w:ascii="仿宋_GB2312" w:hAnsi="Times New Roman" w:eastAsia="仿宋_GB2312" w:cs="仿宋_GB2312"/>
          <w:kern w:val="0"/>
          <w:sz w:val="32"/>
          <w:szCs w:val="32"/>
          <w:lang w:val="en-US" w:eastAsia="zh-CN" w:bidi="ar"/>
        </w:rPr>
        <w:t>（征求意见稿）</w:t>
      </w:r>
    </w:p>
    <w:p w14:paraId="27F60149">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hAnsi="仿宋_GB2312" w:eastAsia="仿宋_GB2312" w:cs="仿宋_GB2312"/>
          <w:kern w:val="2"/>
          <w:sz w:val="32"/>
          <w:szCs w:val="32"/>
          <w:lang w:val="en-US" w:eastAsia="zh-CN" w:bidi="ar-SA"/>
        </w:rPr>
      </w:pPr>
    </w:p>
    <w:p w14:paraId="6BFA325C">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规范全县住宅小区物业服务收费秩序，切实保障业主、物业使用人和物业服务企业的合法权益，促进物业服务行业健康有序发展。根据国家、省、市物业法律法规及政策文件规定，结合我县实际，制定本方案。</w:t>
      </w:r>
    </w:p>
    <w:p w14:paraId="4652A959">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一、定价依据</w:t>
      </w:r>
    </w:p>
    <w:p w14:paraId="02CD8D9A">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中华人民共和国民法典》《中华人民共和国价格法》《物业管理条例》《甘肃省物业管理办法》，甘肃省发展改革委、省住建厅、省市场监管局《关于进一步加强物业服务收费管理工作的通知》（甘发改价格〔2023〕5号）、《甘肃省定价目录（2022版）》，张掖市住建局等四部门联合印发的《张掖市住宅小区物业服务星级标准（修订）》（张市建〔2025〕103号）等法律法规及政策文件规定。</w:t>
      </w:r>
    </w:p>
    <w:p w14:paraId="636CEE6F">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二、物业服务收费内容</w:t>
      </w:r>
    </w:p>
    <w:p w14:paraId="472790C2">
      <w:pPr>
        <w:keepNext w:val="0"/>
        <w:keepLines w:val="0"/>
        <w:pageBreakBefore w:val="0"/>
        <w:widowControl w:val="0"/>
        <w:kinsoku/>
        <w:wordWrap/>
        <w:overflowPunct w:val="0"/>
        <w:topLinePunct w:val="0"/>
        <w:autoSpaceDE/>
        <w:autoSpaceDN/>
        <w:bidi w:val="0"/>
        <w:adjustRightInd/>
        <w:snapToGrid/>
        <w:spacing w:line="560" w:lineRule="exact"/>
        <w:ind w:right="0"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物业服务收费，是指物业服务企业按照物业服务合同的约定，对住宅小区房屋及配套设施设备、相关场地进行维修、养护、管理工作，维护物业管理区域内的环境卫生、公共秩序，向业主或物业使用人所收取的费用。</w:t>
      </w:r>
    </w:p>
    <w:p w14:paraId="101992DB">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三、价格管理适用范围</w:t>
      </w:r>
    </w:p>
    <w:p w14:paraId="4D96AB07">
      <w:pPr>
        <w:keepNext w:val="0"/>
        <w:keepLines w:val="0"/>
        <w:pageBreakBefore w:val="0"/>
        <w:widowControl w:val="0"/>
        <w:kinsoku/>
        <w:wordWrap/>
        <w:overflowPunct w:val="0"/>
        <w:topLinePunct w:val="0"/>
        <w:autoSpaceDE/>
        <w:autoSpaceDN/>
        <w:bidi w:val="0"/>
        <w:adjustRightInd/>
        <w:snapToGrid/>
        <w:spacing w:line="560" w:lineRule="exact"/>
        <w:ind w:right="0" w:firstLine="64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z w:val="32"/>
          <w:szCs w:val="32"/>
          <w:lang w:val="en-US" w:eastAsia="zh-CN"/>
        </w:rPr>
        <w:t>物业服务收费根据不同物业性质和特点，分别实行政府指导价和市场调节价。普通住宅小区（含保障性住房）物业服务收费标准实行政府指导价，成立业主委员会具备协商议价条件的除外。普通住宅以外的建筑物物业服务收费实行市场调节价。业主将住宅改变为经营性用房的，除遵守法律、法规以及管理规约外，</w:t>
      </w:r>
      <w:r>
        <w:rPr>
          <w:rFonts w:hint="eastAsia" w:ascii="仿宋_GB2312" w:hAnsi="仿宋_GB2312" w:eastAsia="仿宋_GB2312" w:cs="仿宋_GB2312"/>
          <w:spacing w:val="-11"/>
          <w:sz w:val="32"/>
          <w:szCs w:val="32"/>
          <w:lang w:val="en-US" w:eastAsia="zh-CN"/>
        </w:rPr>
        <w:t>应当经由利害关系的业主同意，其物业服务收费实行市场调节价。</w:t>
      </w:r>
    </w:p>
    <w:p w14:paraId="164B67A3">
      <w:pPr>
        <w:keepNext w:val="0"/>
        <w:keepLines w:val="0"/>
        <w:pageBreakBefore w:val="0"/>
        <w:widowControl w:val="0"/>
        <w:kinsoku/>
        <w:wordWrap/>
        <w:overflowPunct w:val="0"/>
        <w:topLinePunct w:val="0"/>
        <w:autoSpaceDE/>
        <w:autoSpaceDN/>
        <w:bidi w:val="0"/>
        <w:adjustRightInd/>
        <w:snapToGrid/>
        <w:spacing w:line="560" w:lineRule="exact"/>
        <w:ind w:right="0" w:firstLine="640"/>
        <w:jc w:val="both"/>
        <w:textAlignment w:val="auto"/>
        <w:rPr>
          <w:rFonts w:hint="default"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四、成本调查结论</w:t>
      </w:r>
    </w:p>
    <w:p w14:paraId="50A31F68">
      <w:pPr>
        <w:keepNext w:val="0"/>
        <w:keepLines w:val="0"/>
        <w:pageBreakBefore w:val="0"/>
        <w:widowControl w:val="0"/>
        <w:kinsoku/>
        <w:wordWrap/>
        <w:overflowPunct w:val="0"/>
        <w:topLinePunct w:val="0"/>
        <w:autoSpaceDE/>
        <w:autoSpaceDN/>
        <w:bidi w:val="0"/>
        <w:adjustRightInd/>
        <w:snapToGrid/>
        <w:spacing w:line="560" w:lineRule="exact"/>
        <w:ind w:right="0" w:firstLine="64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kern w:val="0"/>
          <w:sz w:val="32"/>
          <w:szCs w:val="32"/>
          <w:lang w:val="en-US" w:eastAsia="zh-CN" w:bidi="ar"/>
        </w:rPr>
        <w:t>截至2026年初，我县已进行星级评定，批复物业收费基准价的物业公司为县城裕盛源物业</w:t>
      </w:r>
      <w:r>
        <w:rPr>
          <w:rFonts w:hint="eastAsia" w:ascii="仿宋_GB2312" w:hAnsi="仿宋_GB2312" w:eastAsia="仿宋_GB2312" w:cs="仿宋_GB2312"/>
          <w:kern w:val="0"/>
          <w:sz w:val="28"/>
          <w:szCs w:val="28"/>
          <w:lang w:val="en-US" w:eastAsia="zh-CN" w:bidi="ar"/>
        </w:rPr>
        <w:t>【一星级】</w:t>
      </w:r>
      <w:r>
        <w:rPr>
          <w:rFonts w:hint="eastAsia" w:ascii="仿宋_GB2312" w:hAnsi="仿宋_GB2312" w:eastAsia="仿宋_GB2312" w:cs="仿宋_GB2312"/>
          <w:kern w:val="0"/>
          <w:sz w:val="32"/>
          <w:szCs w:val="32"/>
          <w:lang w:val="en-US" w:eastAsia="zh-CN" w:bidi="ar"/>
        </w:rPr>
        <w:t>、大河乡裕康物业</w:t>
      </w:r>
      <w:r>
        <w:rPr>
          <w:rFonts w:hint="eastAsia" w:ascii="仿宋_GB2312" w:hAnsi="仿宋_GB2312" w:eastAsia="仿宋_GB2312" w:cs="仿宋_GB2312"/>
          <w:kern w:val="0"/>
          <w:sz w:val="28"/>
          <w:szCs w:val="28"/>
          <w:lang w:val="en-US" w:eastAsia="zh-CN" w:bidi="ar"/>
        </w:rPr>
        <w:t>【一星级】</w:t>
      </w:r>
      <w:r>
        <w:rPr>
          <w:rFonts w:hint="eastAsia" w:ascii="仿宋_GB2312" w:hAnsi="仿宋_GB2312" w:eastAsia="仿宋_GB2312" w:cs="仿宋_GB2312"/>
          <w:kern w:val="0"/>
          <w:sz w:val="32"/>
          <w:szCs w:val="32"/>
          <w:lang w:val="en-US" w:eastAsia="zh-CN" w:bidi="ar"/>
        </w:rPr>
        <w:t>、明花裕晟物业</w:t>
      </w:r>
      <w:r>
        <w:rPr>
          <w:rFonts w:hint="eastAsia" w:ascii="仿宋_GB2312" w:hAnsi="仿宋_GB2312" w:eastAsia="仿宋_GB2312" w:cs="仿宋_GB2312"/>
          <w:kern w:val="0"/>
          <w:sz w:val="28"/>
          <w:szCs w:val="28"/>
          <w:lang w:val="en-US" w:eastAsia="zh-CN" w:bidi="ar"/>
        </w:rPr>
        <w:t>【一星级】</w:t>
      </w:r>
      <w:r>
        <w:rPr>
          <w:rFonts w:hint="eastAsia" w:ascii="仿宋_GB2312" w:hAnsi="仿宋_GB2312" w:eastAsia="仿宋_GB2312" w:cs="仿宋_GB2312"/>
          <w:kern w:val="0"/>
          <w:sz w:val="32"/>
          <w:szCs w:val="32"/>
          <w:lang w:val="en-US" w:eastAsia="zh-CN" w:bidi="ar"/>
        </w:rPr>
        <w:t>、祁丰乡东纳苑物业</w:t>
      </w:r>
      <w:r>
        <w:rPr>
          <w:rFonts w:hint="eastAsia" w:ascii="仿宋_GB2312" w:hAnsi="仿宋_GB2312" w:eastAsia="仿宋_GB2312" w:cs="仿宋_GB2312"/>
          <w:kern w:val="0"/>
          <w:sz w:val="28"/>
          <w:szCs w:val="28"/>
          <w:lang w:val="en-US" w:eastAsia="zh-CN" w:bidi="ar"/>
        </w:rPr>
        <w:t>【二星级】</w:t>
      </w:r>
      <w:r>
        <w:rPr>
          <w:rFonts w:hint="eastAsia" w:ascii="仿宋_GB2312" w:hAnsi="仿宋_GB2312" w:eastAsia="仿宋_GB2312" w:cs="仿宋_GB2312"/>
          <w:kern w:val="0"/>
          <w:sz w:val="32"/>
          <w:szCs w:val="32"/>
          <w:lang w:val="en-US" w:eastAsia="zh-CN" w:bidi="ar"/>
        </w:rPr>
        <w:t>。为确保成本核算真实精准、定价有据可依，选取县城裕盛源物业、大河乡裕康物业、祁丰乡东纳苑物业、民爆物业等4家物业公司开展成本核算，精准核定各企业运营成本分别为0.28元/平方米/月、0.42元/平方米/月、0.34元/平方米/月、1.7元/平方米/月。</w:t>
      </w:r>
    </w:p>
    <w:p w14:paraId="28008647">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五、服务星级与收费标准对应规则</w:t>
      </w:r>
    </w:p>
    <w:p w14:paraId="712E88C6">
      <w:pPr>
        <w:keepNext w:val="0"/>
        <w:keepLines w:val="0"/>
        <w:pageBreakBefore w:val="0"/>
        <w:widowControl w:val="0"/>
        <w:kinsoku/>
        <w:wordWrap/>
        <w:overflowPunct w:val="0"/>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肃南县普通住宅小区（含保障性住房）物业服务收费基准价，严格对应张掖市住建局等四部门印发的《张掖市住宅小区物业服务星级标准（修订）》（张市建〔2025〕103号）星级标准。普通住宅小区（含保障性住房）物业服务划分为四个星级等级，由低到高依次为一星级、二星级、三星级、四星级，四星级为最高服务标准，星级等级越高，对应物业服务收费基准价越高。本次核定的物业服务收费标准，沿用原张掖市发展改革委、张掖市住建局《关于公布张掖市普通住宅物业服务收费基准价等问题的通知》（张发改价格成本〔2020〕30号）基准价格，政府指导价未作调整。</w:t>
      </w:r>
    </w:p>
    <w:tbl>
      <w:tblPr>
        <w:tblStyle w:val="9"/>
        <w:tblpPr w:leftFromText="180" w:rightFromText="180" w:vertAnchor="text" w:horzAnchor="page" w:tblpX="1442" w:tblpY="598"/>
        <w:tblOverlap w:val="never"/>
        <w:tblW w:w="95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98"/>
      </w:tblGrid>
      <w:tr w14:paraId="3BC3E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9598" w:type="dxa"/>
            <w:tcBorders>
              <w:top w:val="nil"/>
              <w:left w:val="nil"/>
              <w:bottom w:val="nil"/>
              <w:right w:val="nil"/>
            </w:tcBorders>
            <w:shd w:val="clear" w:color="auto" w:fill="auto"/>
            <w:vAlign w:val="center"/>
          </w:tcPr>
          <w:p w14:paraId="3B78F9F2">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jc w:val="center"/>
              <w:textAlignment w:val="center"/>
              <w:rPr>
                <w:rFonts w:hint="eastAsia" w:ascii="黑体" w:hAnsi="黑体" w:eastAsia="黑体" w:cs="黑体"/>
                <w:i w:val="0"/>
                <w:iCs w:val="0"/>
                <w:color w:val="000000"/>
                <w:kern w:val="0"/>
                <w:sz w:val="36"/>
                <w:szCs w:val="36"/>
                <w:u w:val="none"/>
                <w:lang w:val="en-US" w:eastAsia="zh-CN" w:bidi="ar"/>
              </w:rPr>
            </w:pPr>
            <w:r>
              <w:rPr>
                <w:rFonts w:hint="eastAsia" w:ascii="黑体" w:hAnsi="黑体" w:eastAsia="黑体" w:cs="黑体"/>
                <w:i w:val="0"/>
                <w:iCs w:val="0"/>
                <w:color w:val="000000"/>
                <w:kern w:val="0"/>
                <w:sz w:val="36"/>
                <w:szCs w:val="36"/>
                <w:u w:val="none"/>
                <w:lang w:val="en-US" w:eastAsia="zh-CN" w:bidi="ar"/>
              </w:rPr>
              <w:t>肃南县普通住宅物业服务基准价</w:t>
            </w:r>
          </w:p>
          <w:p w14:paraId="486E5FE1">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jc w:val="right"/>
              <w:textAlignment w:val="center"/>
              <w:rPr>
                <w:rFonts w:hint="default" w:ascii="黑体" w:hAnsi="黑体" w:eastAsia="黑体" w:cs="黑体"/>
                <w:i w:val="0"/>
                <w:iCs w:val="0"/>
                <w:color w:val="000000"/>
                <w:kern w:val="0"/>
                <w:sz w:val="36"/>
                <w:szCs w:val="36"/>
                <w:u w:val="none"/>
                <w:lang w:val="en-US" w:eastAsia="zh-CN" w:bidi="ar"/>
              </w:rPr>
            </w:pPr>
            <w:r>
              <w:rPr>
                <w:rFonts w:hint="eastAsia" w:ascii="黑体" w:hAnsi="黑体" w:eastAsia="黑体" w:cs="黑体"/>
                <w:i w:val="0"/>
                <w:iCs w:val="0"/>
                <w:color w:val="000000"/>
                <w:kern w:val="0"/>
                <w:sz w:val="28"/>
                <w:szCs w:val="28"/>
                <w:u w:val="none"/>
                <w:lang w:val="en-US" w:eastAsia="zh-CN" w:bidi="ar"/>
              </w:rPr>
              <w:t>（单位：元/平方米/月）</w:t>
            </w:r>
          </w:p>
          <w:tbl>
            <w:tblPr>
              <w:tblStyle w:val="10"/>
              <w:tblW w:w="93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7"/>
              <w:gridCol w:w="3127"/>
              <w:gridCol w:w="3128"/>
            </w:tblGrid>
            <w:tr w14:paraId="5002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27" w:type="dxa"/>
                  <w:vAlign w:val="top"/>
                </w:tcPr>
                <w:p w14:paraId="259752EF">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jc w:val="both"/>
                    <w:textAlignment w:val="center"/>
                    <w:rPr>
                      <w:rFonts w:hint="default" w:ascii="黑体" w:hAnsi="黑体" w:eastAsia="黑体" w:cs="黑体"/>
                      <w:i w:val="0"/>
                      <w:iCs w:val="0"/>
                      <w:color w:val="000000"/>
                      <w:kern w:val="0"/>
                      <w:sz w:val="36"/>
                      <w:szCs w:val="36"/>
                      <w:u w:val="none"/>
                      <w:vertAlign w:val="baseline"/>
                      <w:lang w:val="en-US" w:eastAsia="zh-CN" w:bidi="ar"/>
                    </w:rPr>
                  </w:pPr>
                  <w:r>
                    <w:rPr>
                      <w:rFonts w:hint="eastAsia" w:ascii="黑体" w:hAnsi="黑体" w:eastAsia="黑体" w:cs="黑体"/>
                      <w:i w:val="0"/>
                      <w:iCs w:val="0"/>
                      <w:color w:val="000000"/>
                      <w:kern w:val="0"/>
                      <w:sz w:val="28"/>
                      <w:szCs w:val="28"/>
                      <w:u w:val="none"/>
                      <w:vertAlign w:val="baseline"/>
                      <w:lang w:val="en-US" w:eastAsia="zh-CN" w:bidi="ar"/>
                    </w:rPr>
                    <w:t>服务标准</w:t>
                  </w:r>
                </w:p>
              </w:tc>
              <w:tc>
                <w:tcPr>
                  <w:tcW w:w="3127" w:type="dxa"/>
                  <w:vAlign w:val="top"/>
                </w:tcPr>
                <w:p w14:paraId="77650FD6">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jc w:val="both"/>
                    <w:textAlignment w:val="center"/>
                    <w:rPr>
                      <w:rFonts w:hint="default" w:ascii="黑体" w:hAnsi="黑体" w:eastAsia="黑体" w:cs="黑体"/>
                      <w:i w:val="0"/>
                      <w:iCs w:val="0"/>
                      <w:color w:val="000000"/>
                      <w:kern w:val="0"/>
                      <w:sz w:val="36"/>
                      <w:szCs w:val="36"/>
                      <w:u w:val="none"/>
                      <w:vertAlign w:val="baseline"/>
                      <w:lang w:val="en-US" w:eastAsia="zh-CN" w:bidi="ar"/>
                    </w:rPr>
                  </w:pPr>
                  <w:r>
                    <w:rPr>
                      <w:rFonts w:hint="eastAsia" w:ascii="黑体" w:hAnsi="黑体" w:eastAsia="黑体" w:cs="黑体"/>
                      <w:i w:val="0"/>
                      <w:iCs w:val="0"/>
                      <w:color w:val="000000"/>
                      <w:kern w:val="0"/>
                      <w:sz w:val="28"/>
                      <w:szCs w:val="28"/>
                      <w:u w:val="none"/>
                      <w:vertAlign w:val="baseline"/>
                      <w:lang w:val="en-US" w:eastAsia="zh-CN" w:bidi="ar"/>
                    </w:rPr>
                    <w:t>多层住宅（无电梯）</w:t>
                  </w:r>
                </w:p>
              </w:tc>
              <w:tc>
                <w:tcPr>
                  <w:tcW w:w="3128" w:type="dxa"/>
                  <w:vAlign w:val="top"/>
                </w:tcPr>
                <w:p w14:paraId="4C5F1EA3">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jc w:val="both"/>
                    <w:textAlignment w:val="center"/>
                    <w:rPr>
                      <w:rFonts w:hint="default" w:ascii="黑体" w:hAnsi="黑体" w:eastAsia="黑体" w:cs="黑体"/>
                      <w:i w:val="0"/>
                      <w:iCs w:val="0"/>
                      <w:color w:val="000000"/>
                      <w:kern w:val="0"/>
                      <w:sz w:val="36"/>
                      <w:szCs w:val="36"/>
                      <w:u w:val="none"/>
                      <w:vertAlign w:val="baseline"/>
                      <w:lang w:val="en-US" w:eastAsia="zh-CN" w:bidi="ar"/>
                    </w:rPr>
                  </w:pPr>
                  <w:r>
                    <w:rPr>
                      <w:rFonts w:hint="eastAsia" w:ascii="黑体" w:hAnsi="黑体" w:eastAsia="黑体" w:cs="黑体"/>
                      <w:i w:val="0"/>
                      <w:iCs w:val="0"/>
                      <w:color w:val="000000"/>
                      <w:kern w:val="0"/>
                      <w:sz w:val="28"/>
                      <w:szCs w:val="28"/>
                      <w:u w:val="none"/>
                      <w:vertAlign w:val="baseline"/>
                      <w:lang w:val="en-US" w:eastAsia="zh-CN" w:bidi="ar"/>
                    </w:rPr>
                    <w:t>高层住宅（有电梯）</w:t>
                  </w:r>
                </w:p>
              </w:tc>
            </w:tr>
            <w:tr w14:paraId="7554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27" w:type="dxa"/>
                  <w:vAlign w:val="top"/>
                </w:tcPr>
                <w:p w14:paraId="71737BD9">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jc w:val="both"/>
                    <w:textAlignment w:val="center"/>
                    <w:rPr>
                      <w:rFonts w:hint="eastAsia" w:ascii="仿宋_GB2312" w:hAnsi="仿宋_GB2312" w:eastAsia="仿宋_GB2312" w:cs="仿宋_GB2312"/>
                      <w:i w:val="0"/>
                      <w:iCs w:val="0"/>
                      <w:color w:val="000000"/>
                      <w:kern w:val="0"/>
                      <w:sz w:val="28"/>
                      <w:szCs w:val="28"/>
                      <w:u w:val="none"/>
                      <w:vertAlign w:val="baseline"/>
                      <w:lang w:val="en-US" w:eastAsia="zh-CN" w:bidi="ar"/>
                    </w:rPr>
                  </w:pPr>
                  <w:r>
                    <w:rPr>
                      <w:rFonts w:hint="eastAsia" w:ascii="仿宋_GB2312" w:hAnsi="仿宋_GB2312" w:eastAsia="仿宋_GB2312" w:cs="仿宋_GB2312"/>
                      <w:i w:val="0"/>
                      <w:iCs w:val="0"/>
                      <w:color w:val="000000"/>
                      <w:kern w:val="0"/>
                      <w:sz w:val="28"/>
                      <w:szCs w:val="28"/>
                      <w:u w:val="none"/>
                      <w:vertAlign w:val="baseline"/>
                      <w:lang w:val="en-US" w:eastAsia="zh-CN" w:bidi="ar"/>
                    </w:rPr>
                    <w:t>一星级服务</w:t>
                  </w:r>
                </w:p>
              </w:tc>
              <w:tc>
                <w:tcPr>
                  <w:tcW w:w="3127" w:type="dxa"/>
                  <w:vAlign w:val="top"/>
                </w:tcPr>
                <w:p w14:paraId="4DB8E791">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jc w:val="both"/>
                    <w:textAlignment w:val="center"/>
                    <w:rPr>
                      <w:rFonts w:hint="eastAsia" w:ascii="仿宋_GB2312" w:hAnsi="仿宋_GB2312" w:eastAsia="仿宋_GB2312" w:cs="仿宋_GB2312"/>
                      <w:i w:val="0"/>
                      <w:iCs w:val="0"/>
                      <w:color w:val="000000"/>
                      <w:kern w:val="0"/>
                      <w:sz w:val="28"/>
                      <w:szCs w:val="28"/>
                      <w:u w:val="none"/>
                      <w:vertAlign w:val="baseline"/>
                      <w:lang w:val="en-US" w:eastAsia="zh-CN" w:bidi="ar"/>
                    </w:rPr>
                  </w:pPr>
                  <w:r>
                    <w:rPr>
                      <w:rFonts w:hint="eastAsia" w:ascii="仿宋_GB2312" w:hAnsi="仿宋_GB2312" w:eastAsia="仿宋_GB2312" w:cs="仿宋_GB2312"/>
                      <w:i w:val="0"/>
                      <w:iCs w:val="0"/>
                      <w:color w:val="000000"/>
                      <w:kern w:val="0"/>
                      <w:sz w:val="28"/>
                      <w:szCs w:val="28"/>
                      <w:u w:val="none"/>
                      <w:vertAlign w:val="baseline"/>
                      <w:lang w:val="en-US" w:eastAsia="zh-CN" w:bidi="ar"/>
                    </w:rPr>
                    <w:t>0.30</w:t>
                  </w:r>
                </w:p>
              </w:tc>
              <w:tc>
                <w:tcPr>
                  <w:tcW w:w="3128" w:type="dxa"/>
                  <w:vAlign w:val="top"/>
                </w:tcPr>
                <w:p w14:paraId="7E0063D6">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jc w:val="both"/>
                    <w:textAlignment w:val="center"/>
                    <w:rPr>
                      <w:rFonts w:hint="eastAsia" w:ascii="仿宋_GB2312" w:hAnsi="仿宋_GB2312" w:eastAsia="仿宋_GB2312" w:cs="仿宋_GB2312"/>
                      <w:i w:val="0"/>
                      <w:iCs w:val="0"/>
                      <w:color w:val="000000"/>
                      <w:kern w:val="0"/>
                      <w:sz w:val="28"/>
                      <w:szCs w:val="28"/>
                      <w:u w:val="none"/>
                      <w:vertAlign w:val="baseline"/>
                      <w:lang w:val="en-US" w:eastAsia="zh-CN" w:bidi="ar"/>
                    </w:rPr>
                  </w:pPr>
                  <w:r>
                    <w:rPr>
                      <w:rFonts w:hint="eastAsia" w:ascii="仿宋_GB2312" w:hAnsi="仿宋_GB2312" w:eastAsia="仿宋_GB2312" w:cs="仿宋_GB2312"/>
                      <w:i w:val="0"/>
                      <w:iCs w:val="0"/>
                      <w:color w:val="000000"/>
                      <w:kern w:val="0"/>
                      <w:sz w:val="28"/>
                      <w:szCs w:val="28"/>
                      <w:u w:val="none"/>
                      <w:vertAlign w:val="baseline"/>
                      <w:lang w:val="en-US" w:eastAsia="zh-CN" w:bidi="ar"/>
                    </w:rPr>
                    <w:t>0.90</w:t>
                  </w:r>
                </w:p>
              </w:tc>
            </w:tr>
            <w:tr w14:paraId="1753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27" w:type="dxa"/>
                  <w:vAlign w:val="top"/>
                </w:tcPr>
                <w:p w14:paraId="129BC1E7">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jc w:val="both"/>
                    <w:textAlignment w:val="center"/>
                    <w:rPr>
                      <w:rFonts w:hint="eastAsia" w:ascii="仿宋_GB2312" w:hAnsi="仿宋_GB2312" w:eastAsia="仿宋_GB2312" w:cs="仿宋_GB2312"/>
                      <w:i w:val="0"/>
                      <w:iCs w:val="0"/>
                      <w:color w:val="000000"/>
                      <w:kern w:val="0"/>
                      <w:sz w:val="28"/>
                      <w:szCs w:val="28"/>
                      <w:u w:val="none"/>
                      <w:vertAlign w:val="baseline"/>
                      <w:lang w:val="en-US" w:eastAsia="zh-CN" w:bidi="ar"/>
                    </w:rPr>
                  </w:pPr>
                  <w:r>
                    <w:rPr>
                      <w:rFonts w:hint="eastAsia" w:ascii="仿宋_GB2312" w:hAnsi="仿宋_GB2312" w:eastAsia="仿宋_GB2312" w:cs="仿宋_GB2312"/>
                      <w:i w:val="0"/>
                      <w:iCs w:val="0"/>
                      <w:color w:val="000000"/>
                      <w:kern w:val="0"/>
                      <w:sz w:val="28"/>
                      <w:szCs w:val="28"/>
                      <w:u w:val="none"/>
                      <w:vertAlign w:val="baseline"/>
                      <w:lang w:val="en-US" w:eastAsia="zh-CN" w:bidi="ar"/>
                    </w:rPr>
                    <w:t>二星级服务</w:t>
                  </w:r>
                </w:p>
              </w:tc>
              <w:tc>
                <w:tcPr>
                  <w:tcW w:w="3127" w:type="dxa"/>
                  <w:vAlign w:val="top"/>
                </w:tcPr>
                <w:p w14:paraId="3A658E05">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jc w:val="both"/>
                    <w:textAlignment w:val="center"/>
                    <w:rPr>
                      <w:rFonts w:hint="eastAsia" w:ascii="仿宋_GB2312" w:hAnsi="仿宋_GB2312" w:eastAsia="仿宋_GB2312" w:cs="仿宋_GB2312"/>
                      <w:i w:val="0"/>
                      <w:iCs w:val="0"/>
                      <w:color w:val="000000"/>
                      <w:kern w:val="0"/>
                      <w:sz w:val="28"/>
                      <w:szCs w:val="28"/>
                      <w:u w:val="none"/>
                      <w:vertAlign w:val="baseline"/>
                      <w:lang w:val="en-US" w:eastAsia="zh-CN" w:bidi="ar"/>
                    </w:rPr>
                  </w:pPr>
                  <w:r>
                    <w:rPr>
                      <w:rFonts w:hint="eastAsia" w:ascii="仿宋_GB2312" w:hAnsi="仿宋_GB2312" w:eastAsia="仿宋_GB2312" w:cs="仿宋_GB2312"/>
                      <w:i w:val="0"/>
                      <w:iCs w:val="0"/>
                      <w:color w:val="000000"/>
                      <w:kern w:val="0"/>
                      <w:sz w:val="28"/>
                      <w:szCs w:val="28"/>
                      <w:u w:val="none"/>
                      <w:vertAlign w:val="baseline"/>
                      <w:lang w:val="en-US" w:eastAsia="zh-CN" w:bidi="ar"/>
                    </w:rPr>
                    <w:t>0.40</w:t>
                  </w:r>
                </w:p>
              </w:tc>
              <w:tc>
                <w:tcPr>
                  <w:tcW w:w="3128" w:type="dxa"/>
                  <w:vAlign w:val="top"/>
                </w:tcPr>
                <w:p w14:paraId="452F0C72">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jc w:val="both"/>
                    <w:textAlignment w:val="center"/>
                    <w:rPr>
                      <w:rFonts w:hint="eastAsia" w:ascii="仿宋_GB2312" w:hAnsi="仿宋_GB2312" w:eastAsia="仿宋_GB2312" w:cs="仿宋_GB2312"/>
                      <w:i w:val="0"/>
                      <w:iCs w:val="0"/>
                      <w:color w:val="000000"/>
                      <w:kern w:val="0"/>
                      <w:sz w:val="28"/>
                      <w:szCs w:val="28"/>
                      <w:u w:val="none"/>
                      <w:vertAlign w:val="baseline"/>
                      <w:lang w:val="en-US" w:eastAsia="zh-CN" w:bidi="ar"/>
                    </w:rPr>
                  </w:pPr>
                  <w:r>
                    <w:rPr>
                      <w:rFonts w:hint="eastAsia" w:ascii="仿宋_GB2312" w:hAnsi="仿宋_GB2312" w:eastAsia="仿宋_GB2312" w:cs="仿宋_GB2312"/>
                      <w:i w:val="0"/>
                      <w:iCs w:val="0"/>
                      <w:color w:val="000000"/>
                      <w:kern w:val="0"/>
                      <w:sz w:val="28"/>
                      <w:szCs w:val="28"/>
                      <w:u w:val="none"/>
                      <w:vertAlign w:val="baseline"/>
                      <w:lang w:val="en-US" w:eastAsia="zh-CN" w:bidi="ar"/>
                    </w:rPr>
                    <w:t>1.30</w:t>
                  </w:r>
                </w:p>
              </w:tc>
            </w:tr>
            <w:tr w14:paraId="5C225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27" w:type="dxa"/>
                  <w:vAlign w:val="top"/>
                </w:tcPr>
                <w:p w14:paraId="792E3E10">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jc w:val="both"/>
                    <w:textAlignment w:val="center"/>
                    <w:rPr>
                      <w:rFonts w:hint="eastAsia" w:ascii="仿宋_GB2312" w:hAnsi="仿宋_GB2312" w:eastAsia="仿宋_GB2312" w:cs="仿宋_GB2312"/>
                      <w:i w:val="0"/>
                      <w:iCs w:val="0"/>
                      <w:color w:val="000000"/>
                      <w:kern w:val="0"/>
                      <w:sz w:val="28"/>
                      <w:szCs w:val="28"/>
                      <w:u w:val="none"/>
                      <w:vertAlign w:val="baseline"/>
                      <w:lang w:val="en-US" w:eastAsia="zh-CN" w:bidi="ar"/>
                    </w:rPr>
                  </w:pPr>
                  <w:r>
                    <w:rPr>
                      <w:rFonts w:hint="eastAsia" w:ascii="仿宋_GB2312" w:hAnsi="仿宋_GB2312" w:eastAsia="仿宋_GB2312" w:cs="仿宋_GB2312"/>
                      <w:i w:val="0"/>
                      <w:iCs w:val="0"/>
                      <w:color w:val="000000"/>
                      <w:kern w:val="0"/>
                      <w:sz w:val="28"/>
                      <w:szCs w:val="28"/>
                      <w:u w:val="none"/>
                      <w:vertAlign w:val="baseline"/>
                      <w:lang w:val="en-US" w:eastAsia="zh-CN" w:bidi="ar"/>
                    </w:rPr>
                    <w:t>三星级服务</w:t>
                  </w:r>
                </w:p>
              </w:tc>
              <w:tc>
                <w:tcPr>
                  <w:tcW w:w="3127" w:type="dxa"/>
                  <w:vAlign w:val="top"/>
                </w:tcPr>
                <w:p w14:paraId="106B1FB3">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jc w:val="both"/>
                    <w:textAlignment w:val="center"/>
                    <w:rPr>
                      <w:rFonts w:hint="eastAsia" w:ascii="仿宋_GB2312" w:hAnsi="仿宋_GB2312" w:eastAsia="仿宋_GB2312" w:cs="仿宋_GB2312"/>
                      <w:i w:val="0"/>
                      <w:iCs w:val="0"/>
                      <w:color w:val="000000"/>
                      <w:kern w:val="0"/>
                      <w:sz w:val="28"/>
                      <w:szCs w:val="28"/>
                      <w:u w:val="none"/>
                      <w:vertAlign w:val="baseline"/>
                      <w:lang w:val="en-US" w:eastAsia="zh-CN" w:bidi="ar"/>
                    </w:rPr>
                  </w:pPr>
                  <w:r>
                    <w:rPr>
                      <w:rFonts w:hint="eastAsia" w:ascii="仿宋_GB2312" w:hAnsi="仿宋_GB2312" w:eastAsia="仿宋_GB2312" w:cs="仿宋_GB2312"/>
                      <w:i w:val="0"/>
                      <w:iCs w:val="0"/>
                      <w:color w:val="000000"/>
                      <w:kern w:val="0"/>
                      <w:sz w:val="28"/>
                      <w:szCs w:val="28"/>
                      <w:u w:val="none"/>
                      <w:vertAlign w:val="baseline"/>
                      <w:lang w:val="en-US" w:eastAsia="zh-CN" w:bidi="ar"/>
                    </w:rPr>
                    <w:t>0.55</w:t>
                  </w:r>
                </w:p>
              </w:tc>
              <w:tc>
                <w:tcPr>
                  <w:tcW w:w="3128" w:type="dxa"/>
                  <w:vAlign w:val="top"/>
                </w:tcPr>
                <w:p w14:paraId="7A14DD27">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jc w:val="both"/>
                    <w:textAlignment w:val="center"/>
                    <w:rPr>
                      <w:rFonts w:hint="eastAsia" w:ascii="仿宋_GB2312" w:hAnsi="仿宋_GB2312" w:eastAsia="仿宋_GB2312" w:cs="仿宋_GB2312"/>
                      <w:i w:val="0"/>
                      <w:iCs w:val="0"/>
                      <w:color w:val="000000"/>
                      <w:kern w:val="0"/>
                      <w:sz w:val="28"/>
                      <w:szCs w:val="28"/>
                      <w:u w:val="none"/>
                      <w:vertAlign w:val="baseline"/>
                      <w:lang w:val="en-US" w:eastAsia="zh-CN" w:bidi="ar"/>
                    </w:rPr>
                  </w:pPr>
                  <w:r>
                    <w:rPr>
                      <w:rFonts w:hint="eastAsia" w:ascii="仿宋_GB2312" w:hAnsi="仿宋_GB2312" w:eastAsia="仿宋_GB2312" w:cs="仿宋_GB2312"/>
                      <w:i w:val="0"/>
                      <w:iCs w:val="0"/>
                      <w:color w:val="000000"/>
                      <w:kern w:val="0"/>
                      <w:sz w:val="28"/>
                      <w:szCs w:val="28"/>
                      <w:u w:val="none"/>
                      <w:vertAlign w:val="baseline"/>
                      <w:lang w:val="en-US" w:eastAsia="zh-CN" w:bidi="ar"/>
                    </w:rPr>
                    <w:t>1.50</w:t>
                  </w:r>
                </w:p>
              </w:tc>
            </w:tr>
            <w:tr w14:paraId="25C4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27" w:type="dxa"/>
                  <w:vAlign w:val="top"/>
                </w:tcPr>
                <w:p w14:paraId="285673EC">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jc w:val="both"/>
                    <w:textAlignment w:val="center"/>
                    <w:rPr>
                      <w:rFonts w:hint="eastAsia" w:ascii="仿宋_GB2312" w:hAnsi="仿宋_GB2312" w:eastAsia="仿宋_GB2312" w:cs="仿宋_GB2312"/>
                      <w:i w:val="0"/>
                      <w:iCs w:val="0"/>
                      <w:color w:val="000000"/>
                      <w:kern w:val="0"/>
                      <w:sz w:val="28"/>
                      <w:szCs w:val="28"/>
                      <w:u w:val="none"/>
                      <w:vertAlign w:val="baseline"/>
                      <w:lang w:val="en-US" w:eastAsia="zh-CN" w:bidi="ar"/>
                    </w:rPr>
                  </w:pPr>
                  <w:r>
                    <w:rPr>
                      <w:rFonts w:hint="eastAsia" w:ascii="仿宋_GB2312" w:hAnsi="仿宋_GB2312" w:eastAsia="仿宋_GB2312" w:cs="仿宋_GB2312"/>
                      <w:i w:val="0"/>
                      <w:iCs w:val="0"/>
                      <w:color w:val="000000"/>
                      <w:kern w:val="0"/>
                      <w:sz w:val="28"/>
                      <w:szCs w:val="28"/>
                      <w:u w:val="none"/>
                      <w:vertAlign w:val="baseline"/>
                      <w:lang w:val="en-US" w:eastAsia="zh-CN" w:bidi="ar"/>
                    </w:rPr>
                    <w:t>四星级服务</w:t>
                  </w:r>
                </w:p>
              </w:tc>
              <w:tc>
                <w:tcPr>
                  <w:tcW w:w="3127" w:type="dxa"/>
                  <w:vAlign w:val="top"/>
                </w:tcPr>
                <w:p w14:paraId="348B101F">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jc w:val="both"/>
                    <w:textAlignment w:val="center"/>
                    <w:rPr>
                      <w:rFonts w:hint="eastAsia" w:ascii="仿宋_GB2312" w:hAnsi="仿宋_GB2312" w:eastAsia="仿宋_GB2312" w:cs="仿宋_GB2312"/>
                      <w:i w:val="0"/>
                      <w:iCs w:val="0"/>
                      <w:color w:val="000000"/>
                      <w:kern w:val="0"/>
                      <w:sz w:val="28"/>
                      <w:szCs w:val="28"/>
                      <w:u w:val="none"/>
                      <w:vertAlign w:val="baseline"/>
                      <w:lang w:val="en-US" w:eastAsia="zh-CN" w:bidi="ar"/>
                    </w:rPr>
                  </w:pPr>
                  <w:r>
                    <w:rPr>
                      <w:rFonts w:hint="eastAsia" w:ascii="仿宋_GB2312" w:hAnsi="仿宋_GB2312" w:eastAsia="仿宋_GB2312" w:cs="仿宋_GB2312"/>
                      <w:i w:val="0"/>
                      <w:iCs w:val="0"/>
                      <w:color w:val="000000"/>
                      <w:kern w:val="0"/>
                      <w:sz w:val="28"/>
                      <w:szCs w:val="28"/>
                      <w:u w:val="none"/>
                      <w:vertAlign w:val="baseline"/>
                      <w:lang w:val="en-US" w:eastAsia="zh-CN" w:bidi="ar"/>
                    </w:rPr>
                    <w:t>0.65</w:t>
                  </w:r>
                </w:p>
              </w:tc>
              <w:tc>
                <w:tcPr>
                  <w:tcW w:w="3128" w:type="dxa"/>
                  <w:vAlign w:val="top"/>
                </w:tcPr>
                <w:p w14:paraId="721F3DA8">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jc w:val="both"/>
                    <w:textAlignment w:val="center"/>
                    <w:rPr>
                      <w:rFonts w:hint="eastAsia" w:ascii="仿宋_GB2312" w:hAnsi="仿宋_GB2312" w:eastAsia="仿宋_GB2312" w:cs="仿宋_GB2312"/>
                      <w:i w:val="0"/>
                      <w:iCs w:val="0"/>
                      <w:color w:val="000000"/>
                      <w:kern w:val="0"/>
                      <w:sz w:val="28"/>
                      <w:szCs w:val="28"/>
                      <w:u w:val="none"/>
                      <w:vertAlign w:val="baseline"/>
                      <w:lang w:val="en-US" w:eastAsia="zh-CN" w:bidi="ar"/>
                    </w:rPr>
                  </w:pPr>
                  <w:r>
                    <w:rPr>
                      <w:rFonts w:hint="eastAsia" w:ascii="仿宋_GB2312" w:hAnsi="仿宋_GB2312" w:eastAsia="仿宋_GB2312" w:cs="仿宋_GB2312"/>
                      <w:i w:val="0"/>
                      <w:iCs w:val="0"/>
                      <w:color w:val="000000"/>
                      <w:kern w:val="0"/>
                      <w:sz w:val="28"/>
                      <w:szCs w:val="28"/>
                      <w:u w:val="none"/>
                      <w:vertAlign w:val="baseline"/>
                      <w:lang w:val="en-US" w:eastAsia="zh-CN" w:bidi="ar"/>
                    </w:rPr>
                    <w:t>1.70</w:t>
                  </w:r>
                </w:p>
              </w:tc>
            </w:tr>
          </w:tbl>
          <w:p w14:paraId="5481F22E">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jc w:val="both"/>
              <w:textAlignment w:val="center"/>
              <w:rPr>
                <w:rFonts w:hint="default" w:ascii="黑体" w:hAnsi="黑体" w:eastAsia="黑体" w:cs="黑体"/>
                <w:i w:val="0"/>
                <w:iCs w:val="0"/>
                <w:color w:val="000000"/>
                <w:kern w:val="0"/>
                <w:sz w:val="36"/>
                <w:szCs w:val="36"/>
                <w:u w:val="none"/>
                <w:lang w:val="en-US" w:eastAsia="zh-CN" w:bidi="ar"/>
              </w:rPr>
            </w:pPr>
          </w:p>
        </w:tc>
      </w:tr>
    </w:tbl>
    <w:p w14:paraId="3AA7530E">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黑体" w:hAnsi="黑体" w:eastAsia="黑体" w:cs="黑体"/>
          <w:b w:val="0"/>
          <w:bCs w:val="0"/>
          <w:kern w:val="0"/>
          <w:sz w:val="32"/>
          <w:szCs w:val="32"/>
          <w:lang w:val="en-US" w:eastAsia="zh-CN" w:bidi="ar"/>
        </w:rPr>
      </w:pPr>
    </w:p>
    <w:p w14:paraId="3EB6AB30">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val="0"/>
          <w:kern w:val="0"/>
          <w:sz w:val="32"/>
          <w:szCs w:val="32"/>
          <w:lang w:val="en-US" w:eastAsia="zh-CN" w:bidi="ar"/>
        </w:rPr>
      </w:pPr>
      <w:r>
        <w:rPr>
          <w:rFonts w:hint="eastAsia" w:ascii="仿宋_GB2312" w:hAnsi="仿宋_GB2312" w:eastAsia="仿宋_GB2312" w:cs="仿宋_GB2312"/>
          <w:kern w:val="2"/>
          <w:sz w:val="32"/>
          <w:szCs w:val="32"/>
          <w:lang w:val="en-US" w:eastAsia="zh-CN" w:bidi="ar-SA"/>
        </w:rPr>
        <w:t>（二）县住建部门负责牵头组织开展住宅小区物业服务星级考核评定，实行定期复核（每2年复核一次）；物业服务实际服务质量达不到已评定星级标准的，应当予以降级，物业服务收费标准同步下调；未开展星级评定的小区统一按一星级执行，由住建局督促物业限期完成星级评定。</w:t>
      </w:r>
    </w:p>
    <w:p w14:paraId="129D4923">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六、物业服务收费标准的约定规则</w:t>
      </w:r>
    </w:p>
    <w:p w14:paraId="33E14FD5">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前期物业或新建小区收费，以《物业服务合同》中约定收费标准执行。建设单位依法与物业服务人订立的前期物业服务合同约定的服务期限届满前，业主委员会或者业主与新物业服务人订立的物业服务合同生效的，前期物业服务合同终止。新建经济适用住房等保障性住房项目，不得约定四星级物业服务及相对应的收费标准。</w:t>
      </w:r>
    </w:p>
    <w:p w14:paraId="534D3F4A">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（二）实行市场调节价的物业服务收费，由业主、业主委员会或业主大会与物业服务企业自主协商确定服务内容、服务标准和具体收费标准。</w:t>
      </w:r>
    </w:p>
    <w:p w14:paraId="6C9A7234">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占用小区公共部位、公用设施设备开展经营收益，已成立业主委员会的，由业主委员会与物业服务企业协商约定收益分配比例；无约定或约定不明的，按照业主专有部分面积占比分配。物业服务企业应对小区公共收益单独建账、专项核算，定期公示收支情况。县住建部门指导监督物业服务企业落实公共收益建账及公示，对拒不公示、挪用侵占公共收益的，记入物业企业信用档案。</w:t>
      </w:r>
    </w:p>
    <w:p w14:paraId="20063AEA">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（四）依据《甘肃省物业管理办法》，房屋交付后连续空置6个月以上，业主向物业服务企业履行书面报备手续后，物业服务费可按规定比例减收，具体比例在物业服务合同中予以约定。</w:t>
      </w:r>
    </w:p>
    <w:p w14:paraId="0AAF5B5F">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七、相关要求</w:t>
      </w:r>
    </w:p>
    <w:p w14:paraId="4ABA6FBF">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一）普通住宅小区（含保障性住房）物业服务费按房屋所有权证登记的房屋建筑面积计算。未办理房屋所有权证的，以售房合同中约定的建筑面积计算。未计入产权面积的附属房屋不得收取物业服务费，擅自改变设计用途用于经营的除外。  </w:t>
      </w:r>
    </w:p>
    <w:p w14:paraId="4C7D10AC">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（二）本通知核定的各基准价为最高指导价，收费标准下浮不限。未开展星级评定的住宅小区，统一按照一星级服务收费标准执行，具体收费标准由《物业服务合同》约定。</w:t>
      </w:r>
    </w:p>
    <w:p w14:paraId="69930B67">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firstLine="640" w:firstLineChars="200"/>
        <w:jc w:val="both"/>
        <w:rPr>
          <w:rFonts w:hint="eastAsia" w:ascii="仿宋_GB2312" w:hAnsi="仿宋_GB2312" w:eastAsia="仿宋_GB2312" w:cs="仿宋_GB2312"/>
          <w:spacing w:val="-6"/>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（三）同一住宅区内有高层住宅及多层住宅的，按其公共</w:t>
      </w:r>
      <w:r>
        <w:rPr>
          <w:rFonts w:hint="eastAsia" w:ascii="仿宋_GB2312" w:hAnsi="仿宋_GB2312" w:eastAsia="仿宋_GB2312" w:cs="仿宋_GB2312"/>
          <w:spacing w:val="-6"/>
          <w:kern w:val="2"/>
          <w:sz w:val="32"/>
          <w:szCs w:val="32"/>
          <w:lang w:val="en-US" w:eastAsia="zh-CN" w:bidi="ar-SA"/>
        </w:rPr>
        <w:t>设施设备等硬件条件及服务水平，分别确定相应星级及收费标准。</w:t>
      </w:r>
    </w:p>
    <w:p w14:paraId="06609BD6">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firstLine="640" w:firstLineChars="200"/>
        <w:jc w:val="both"/>
        <w:rPr>
          <w:rFonts w:hint="eastAsia" w:ascii="仿宋_GB2312" w:hAnsi="仿宋_GB2312" w:eastAsia="仿宋_GB2312" w:cs="仿宋_GB2312"/>
          <w:spacing w:val="-11"/>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（四）高层带电梯住宅第1层或未设置电梯出入口的其它楼</w:t>
      </w:r>
      <w:r>
        <w:rPr>
          <w:rFonts w:hint="eastAsia" w:ascii="仿宋_GB2312" w:hAnsi="仿宋_GB2312" w:eastAsia="仿宋_GB2312" w:cs="仿宋_GB2312"/>
          <w:spacing w:val="-11"/>
          <w:kern w:val="2"/>
          <w:sz w:val="32"/>
          <w:szCs w:val="32"/>
          <w:lang w:val="en-US" w:eastAsia="zh-CN" w:bidi="ar-SA"/>
        </w:rPr>
        <w:t>层，约定标准时应降低25%,但需乘电梯才能到达公共区域的除外。</w:t>
      </w:r>
    </w:p>
    <w:p w14:paraId="4D41DD12">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firstLine="640" w:firstLineChars="200"/>
        <w:jc w:val="both"/>
        <w:rPr>
          <w:rFonts w:hint="eastAsia" w:ascii="仿宋_GB2312" w:hAnsi="仿宋_GB2312" w:eastAsia="仿宋_GB2312" w:cs="仿宋_GB2312"/>
          <w:spacing w:val="-6"/>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（五）高层住宅不设电梯的参照多层住宅确定收费标准。</w:t>
      </w:r>
      <w:r>
        <w:rPr>
          <w:rFonts w:hint="eastAsia" w:ascii="仿宋_GB2312" w:hAnsi="仿宋_GB2312" w:eastAsia="仿宋_GB2312" w:cs="仿宋_GB2312"/>
          <w:spacing w:val="-6"/>
          <w:kern w:val="2"/>
          <w:sz w:val="32"/>
          <w:szCs w:val="32"/>
          <w:lang w:val="en-US" w:eastAsia="zh-CN" w:bidi="ar-SA"/>
        </w:rPr>
        <w:t>多层住宅加装电梯的，由物业服务企业与业主协商约定相关收费标准。</w:t>
      </w:r>
    </w:p>
    <w:p w14:paraId="0EB959A2">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物业管理区域内照明、景观、消防、安防、电梯等归属业主共有公共配套设施设备的水费、电费、电梯维护保养费及年检费，已全额计入物业服务定价成本，不得向业主单独收取。住建部门加强监督检查，发现物业重复收费的，移交市场监管部门依法处置。</w:t>
      </w:r>
    </w:p>
    <w:p w14:paraId="3CABAD1B">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（七）物业共用部位、共用设施设备的大修、中修和更新、改造费用，从住宅专项维修资金中列支，不得单独向业主收取。</w:t>
      </w:r>
    </w:p>
    <w:p w14:paraId="74AAB977">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（八）物业服务收费按月收取，经业主同意，也可按季或年收取。</w:t>
      </w:r>
    </w:p>
    <w:p w14:paraId="407FF7C9">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（九）小区业主委员会（或物业管理委员会）应依法召开业主大会选聘物业服务企业，并在《物业服务合同》中约定收费标准，物业服务企业应遵循质价相符原则，提供与星级标准相匹配的物业服务。</w:t>
      </w:r>
    </w:p>
    <w:p w14:paraId="630C2DA4">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县住建部门建立物业服务企业信用管理，将星级考核结果、服务履约、乱收费整改、公共收益公示等情况纳入企业信用档案；对服务严重不达标、违规收费拒不整改企业，实施信用惩戒，限制承接新项目资格。</w:t>
      </w:r>
    </w:p>
    <w:p w14:paraId="47FFC18B">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一）充分发挥乡镇人民政府、社区居委会的属地指导调解作用，指导小区成立业主委员会（物业管理委员会），参与物业服务质量监督、收费矛盾纠纷调处；对暂不具备成立业委会条件的小区，由物管会代行部分协商监督职责。</w:t>
      </w:r>
    </w:p>
    <w:p w14:paraId="100AF7FC">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八、信息公示与监督管理</w:t>
      </w:r>
    </w:p>
    <w:p w14:paraId="1DFADD11">
      <w:pPr>
        <w:keepNext w:val="0"/>
        <w:keepLines w:val="0"/>
        <w:pageBreakBefore w:val="0"/>
        <w:widowControl w:val="0"/>
        <w:suppressLineNumbers w:val="0"/>
        <w:kinsoku/>
        <w:wordWrap/>
        <w:overflowPunct w:val="0"/>
        <w:topLinePunct w:val="0"/>
        <w:autoSpaceDE/>
        <w:autoSpaceDN/>
        <w:bidi w:val="0"/>
        <w:adjustRightInd/>
        <w:snapToGrid/>
        <w:spacing w:line="560" w:lineRule="exact"/>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物业服务企业须在小区显著位置设置固定公示栏，持续公示企业信息、服务星级标准、服务内容、收费标准、定价依据、投诉举报电话（12315）等内容，接受业主监督。严格按照《张掖市住宅小区物业服务星级标准(修订)》公示服务事项，严禁收取任何未公示、未备案的费用，确保收费公开透明、质价相符。禁止物业企业以停水停电、限制门禁等方式催缴物业费用。业主委员会、物业管理委员会需依法规范选聘物业服务企业，通过合同明确服务标准与收费标准。物业服务企业必须严格按照对应星级标准提供服务，严禁低质高价、缩水服务。行业主管部门对物业服务履约情况开展常态化核查，督促企业规范服务、合规收费。</w:t>
      </w:r>
    </w:p>
    <w:p w14:paraId="36EDCE3E">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九、方案施行与政策衔接</w:t>
      </w:r>
    </w:p>
    <w:p w14:paraId="0B00A091">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lang w:val="en-US" w:eastAsia="zh-CN"/>
        </w:rPr>
      </w:pPr>
      <w:r>
        <w:rPr>
          <w:rFonts w:hint="eastAsia" w:ascii="仿宋_GB2312" w:hAnsi="仿宋_GB2312" w:eastAsia="仿宋_GB2312" w:cs="仿宋_GB2312"/>
          <w:kern w:val="2"/>
          <w:sz w:val="32"/>
          <w:szCs w:val="32"/>
          <w:lang w:val="en-US" w:eastAsia="zh-CN" w:bidi="ar-SA"/>
        </w:rPr>
        <w:t>本方案由肃南县发展和改革局、肃南县住房和城乡建设局负责解释，自发布之日起正式施行。执行期间如遇国家、省、市相关政</w:t>
      </w:r>
      <w:bookmarkStart w:id="0" w:name="_GoBack"/>
      <w:bookmarkEnd w:id="0"/>
      <w:r>
        <w:rPr>
          <w:rFonts w:hint="eastAsia" w:ascii="仿宋_GB2312" w:hAnsi="仿宋_GB2312" w:eastAsia="仿宋_GB2312" w:cs="仿宋_GB2312"/>
          <w:kern w:val="2"/>
          <w:sz w:val="32"/>
          <w:szCs w:val="32"/>
          <w:lang w:val="en-US" w:eastAsia="zh-CN" w:bidi="ar-SA"/>
        </w:rPr>
        <w:t>策调整，以国家、省、市政策为准。</w:t>
      </w:r>
    </w:p>
    <w:sectPr>
      <w:footerReference r:id="rId3" w:type="default"/>
      <w:pgSz w:w="11906" w:h="16838"/>
      <w:pgMar w:top="1757" w:right="1587" w:bottom="158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175E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31C63">
                          <w:pPr>
                            <w:pStyle w:val="6"/>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7</w:t>
                          </w:r>
                          <w:r>
                            <w:rPr>
                              <w:sz w:val="28"/>
                            </w:rPr>
                            <w:fldChar w:fldCharType="end"/>
                          </w:r>
                          <w:r>
                            <w:rPr>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631C63">
                    <w:pPr>
                      <w:pStyle w:val="6"/>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7</w:t>
                    </w:r>
                    <w:r>
                      <w:rPr>
                        <w:sz w:val="28"/>
                      </w:rPr>
                      <w:fldChar w:fldCharType="end"/>
                    </w:r>
                    <w:r>
                      <w:rPr>
                        <w:sz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896AED"/>
    <w:rsid w:val="24896AED"/>
    <w:rsid w:val="257B0F03"/>
    <w:rsid w:val="27B779C8"/>
    <w:rsid w:val="28E31299"/>
    <w:rsid w:val="2A0C080C"/>
    <w:rsid w:val="30733FE6"/>
    <w:rsid w:val="3340238C"/>
    <w:rsid w:val="339C4372"/>
    <w:rsid w:val="339D32B0"/>
    <w:rsid w:val="35410766"/>
    <w:rsid w:val="390710A4"/>
    <w:rsid w:val="447A39F8"/>
    <w:rsid w:val="51AD172A"/>
    <w:rsid w:val="5987631A"/>
    <w:rsid w:val="5AAE7C9F"/>
    <w:rsid w:val="5ECF2BAB"/>
    <w:rsid w:val="62747D6F"/>
    <w:rsid w:val="68E463D1"/>
    <w:rsid w:val="73AF458D"/>
    <w:rsid w:val="749028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99"/>
    <w:pPr>
      <w:spacing w:after="120"/>
    </w:pPr>
  </w:style>
  <w:style w:type="paragraph" w:styleId="5">
    <w:name w:val="Body Text Indent 2"/>
    <w:basedOn w:val="1"/>
    <w:unhideWhenUsed/>
    <w:qFormat/>
    <w:uiPriority w:val="99"/>
    <w:pPr>
      <w:spacing w:after="120" w:line="480" w:lineRule="auto"/>
      <w:ind w:left="420" w:leftChars="200"/>
    </w:pPr>
    <w:rPr>
      <w:rFonts w:ascii="Calibri" w:hAnsi="Calibri" w:eastAsia="宋体" w:cs="Calibri"/>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2966</Words>
  <Characters>3031</Characters>
  <Lines>0</Lines>
  <Paragraphs>0</Paragraphs>
  <TotalTime>147</TotalTime>
  <ScaleCrop>false</ScaleCrop>
  <LinksUpToDate>false</LinksUpToDate>
  <CharactersWithSpaces>3038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2026-09-01T01:48:00Z</dcterms:created>
  <dc:creator>生如夏花</dc:creator>
  <cp:lastModifiedBy>生如夏花</cp:lastModifiedBy>
  <cp:lastPrinted>2026-09-11T03:51:00Z</cp:lastPrinted>
  <dcterms:modified xsi:type="dcterms:W3CDTF">2026-09-14T09:13:03Z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77D306E42D794C009AD522AED91BB748_13</vt:lpwstr>
  </property>
  <property fmtid="{D5CDD505-2E9C-101B-9397-08002B2CF9AE}" pid="4" name="KSOTemplateDocerSaveRecord">
    <vt:lpwstr>eyJoZGlkIjoiNTgxZjViODM0NDhiNjBiYWUwYWE3NzRjZTUyMmJiNGEiLCJ1c2VySWQiOiIzMzgxMDUzODQifQ==</vt:lpwstr>
  </property>
</Properties>
</file>