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D3CFD">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方正小标宋简体" w:hAnsi="方正小标宋简体" w:eastAsia="方正小标宋简体" w:cs="方正小标宋简体"/>
          <w:color w:val="auto"/>
          <w:kern w:val="0"/>
          <w:sz w:val="44"/>
          <w:szCs w:val="44"/>
          <w:lang w:val="en-US" w:eastAsia="zh-CN" w:bidi="ar"/>
        </w:rPr>
      </w:pPr>
      <w:r>
        <w:rPr>
          <w:rFonts w:hint="eastAsia" w:ascii="方正小标宋简体" w:hAnsi="方正小标宋简体" w:eastAsia="方正小标宋简体" w:cs="方正小标宋简体"/>
          <w:color w:val="auto"/>
          <w:kern w:val="0"/>
          <w:sz w:val="44"/>
          <w:szCs w:val="44"/>
          <w:lang w:val="en-US" w:eastAsia="zh-CN" w:bidi="ar"/>
        </w:rPr>
        <w:t>肃南县突发事件遇难人员遗体处置应急预案</w:t>
      </w:r>
    </w:p>
    <w:p w14:paraId="45EDAEF3">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color w:val="auto"/>
          <w:kern w:val="0"/>
          <w:sz w:val="32"/>
          <w:szCs w:val="32"/>
          <w:lang w:val="en-US" w:eastAsia="zh-CN" w:bidi="ar"/>
        </w:rPr>
      </w:pPr>
    </w:p>
    <w:p w14:paraId="1B0CE26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一、总则</w:t>
      </w:r>
    </w:p>
    <w:p w14:paraId="5F29886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（一）编制目的</w:t>
      </w:r>
    </w:p>
    <w:p w14:paraId="7DB6CAF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为规范高效处置我县行政区域内各类突发事件遇难人员遗体，防范公共卫生风险，维护社会公共秩序和县域社会稳定，依法履行民政部门善后处置职责，保障逝者尊严和遇难人员家属合法权益，结合我县殡葬工作实际，制定本预案。</w:t>
      </w:r>
    </w:p>
    <w:p w14:paraId="30E1C5B9">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（二）编制依据</w:t>
      </w:r>
    </w:p>
    <w:p w14:paraId="12827FF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依据《中华人民共和国突发事件应对法》《中华人民共和国防震减灾法》《殡葬管理条例》《自然灾害救助条例》《重大突发事件遇难人员遗体处置工作规程》《国家地震应急预案》《甘肃省突发事件总体应急预案》《甘肃省地震应急预案》《张掖市突发事件总体应急预案》《张掖市地震应急预案》《肃南县突发事件总体应急预案》《肃南县城区实战化抗震工作方案》《肃南县民政系统地震应急预案》等法律法规及相关文件，制定本预案。</w:t>
      </w:r>
    </w:p>
    <w:p w14:paraId="68D895C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（三）适用范围</w:t>
      </w:r>
    </w:p>
    <w:p w14:paraId="02C27B9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本预案适用于我县行政区域内因自然灾害、事故灾难、公共卫生事件、社会安全事件等各类突发事件导致的遇难人员遗体搜寻、接运、消毒、存放、身份识别、火化、安葬及善后处置等全过程工作。</w:t>
      </w:r>
    </w:p>
    <w:p w14:paraId="3C00A7F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（四）工作原则</w:t>
      </w:r>
    </w:p>
    <w:p w14:paraId="4E5565B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1.统一领导，分级负责。</w:t>
      </w:r>
      <w:r>
        <w:rPr>
          <w:rFonts w:hint="eastAsia" w:ascii="仿宋_GB2312" w:hAnsi="仿宋_GB2312" w:eastAsia="仿宋_GB2312" w:cs="仿宋_GB2312"/>
          <w:color w:val="auto"/>
          <w:kern w:val="0"/>
          <w:sz w:val="32"/>
          <w:szCs w:val="32"/>
          <w:lang w:val="en-US" w:eastAsia="zh-CN" w:bidi="ar"/>
        </w:rPr>
        <w:t>在县委、县政府统一领导和县突发事件应急指挥机构统筹协调下，坚持综合协调、分级负责、属地管理原则，由民政部门牵头，各相关部门分工负责、协同联动，依规开展遗体应急处置工作。</w:t>
      </w:r>
    </w:p>
    <w:p w14:paraId="6C5B501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2.依法规范，审慎稳妥。</w:t>
      </w:r>
      <w:r>
        <w:rPr>
          <w:rFonts w:hint="eastAsia" w:ascii="仿宋_GB2312" w:hAnsi="仿宋_GB2312" w:eastAsia="仿宋_GB2312" w:cs="仿宋_GB2312"/>
          <w:color w:val="auto"/>
          <w:kern w:val="0"/>
          <w:sz w:val="32"/>
          <w:szCs w:val="32"/>
          <w:lang w:val="en-US" w:eastAsia="zh-CN" w:bidi="ar"/>
        </w:rPr>
        <w:t>严格按照法律法规和行业规范开展处置工作，坚持以人为本、审慎稳妥，尊重逝者尊严，尊重少数民族丧葬习俗，规范、有序、稳妥推进各项处置任务。</w:t>
      </w:r>
    </w:p>
    <w:p w14:paraId="15A7527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3.就近就便，及时高效。</w:t>
      </w:r>
      <w:r>
        <w:rPr>
          <w:rFonts w:hint="eastAsia" w:ascii="仿宋_GB2312" w:hAnsi="仿宋_GB2312" w:eastAsia="仿宋_GB2312" w:cs="仿宋_GB2312"/>
          <w:color w:val="auto"/>
          <w:kern w:val="0"/>
          <w:sz w:val="32"/>
          <w:szCs w:val="32"/>
          <w:lang w:val="en-US" w:eastAsia="zh-CN" w:bidi="ar"/>
        </w:rPr>
        <w:t>立足我县殡葬服务布局和交通条件，坚持就近就便、快速响应，分类分级开展处置工作，提升应急处置时效和专业化水平。</w:t>
      </w:r>
    </w:p>
    <w:p w14:paraId="18E846A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4.分区施策，全域覆盖。</w:t>
      </w:r>
      <w:r>
        <w:rPr>
          <w:rFonts w:hint="eastAsia" w:ascii="仿宋_GB2312" w:hAnsi="仿宋_GB2312" w:eastAsia="仿宋_GB2312" w:cs="仿宋_GB2312"/>
          <w:color w:val="auto"/>
          <w:kern w:val="0"/>
          <w:sz w:val="32"/>
          <w:szCs w:val="32"/>
          <w:lang w:val="en-US" w:eastAsia="zh-CN" w:bidi="ar"/>
        </w:rPr>
        <w:t>根据我县各乡镇地理区位、交通条件和殡葬服务能力，实行分区分类处置。县城及周边乡镇由县级殡葬服务机构直接处置；偏远乡镇就近衔接毗邻县（区）殡仪服务资源，确保处置工作全域覆盖、不留盲区。</w:t>
      </w:r>
    </w:p>
    <w:p w14:paraId="1D9C685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5.预防为主，防控并举。</w:t>
      </w:r>
      <w:r>
        <w:rPr>
          <w:rFonts w:hint="eastAsia" w:ascii="仿宋_GB2312" w:hAnsi="仿宋_GB2312" w:eastAsia="仿宋_GB2312" w:cs="仿宋_GB2312"/>
          <w:color w:val="auto"/>
          <w:kern w:val="0"/>
          <w:sz w:val="32"/>
          <w:szCs w:val="32"/>
          <w:lang w:val="en-US" w:eastAsia="zh-CN" w:bidi="ar"/>
        </w:rPr>
        <w:t>常态化开展殡葬应急能力建设、物资储备、设备维保和应急演练，夯实应急基础。突发事件处置期间坚持卫生防疫优先，严格落实防控措施，严防次生风险。</w:t>
      </w:r>
    </w:p>
    <w:p w14:paraId="47C991D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6.全程追溯，公开规范。</w:t>
      </w:r>
      <w:r>
        <w:rPr>
          <w:rFonts w:hint="eastAsia" w:ascii="仿宋_GB2312" w:hAnsi="仿宋_GB2312" w:eastAsia="仿宋_GB2312" w:cs="仿宋_GB2312"/>
          <w:color w:val="auto"/>
          <w:kern w:val="0"/>
          <w:sz w:val="32"/>
          <w:szCs w:val="32"/>
          <w:lang w:val="en-US" w:eastAsia="zh-CN" w:bidi="ar"/>
        </w:rPr>
        <w:t>严格落实遗体处置全流程台账管理，实现环节可查、全程可溯、责任可究。按照县委、县政府统一部署规范开展信息发布，确保信息及时、准确、完整。</w:t>
      </w:r>
    </w:p>
    <w:p w14:paraId="5880510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二、组织指挥体系及职责</w:t>
      </w:r>
    </w:p>
    <w:p w14:paraId="4F71EBD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（一）县级遇难人员遗体处置指挥部</w:t>
      </w:r>
    </w:p>
    <w:p w14:paraId="27EA7E1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县人民政府成立肃南县突发事件遇难人员遗体处置指挥部（以下简称“县遗体处置指挥部”），统一领导、指挥全县突发事件遇难人员遗体处置工作。</w:t>
      </w:r>
    </w:p>
    <w:p w14:paraId="6611EC1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总 指 挥：县政府分管民政工作副县长</w:t>
      </w:r>
    </w:p>
    <w:p w14:paraId="3A14A6F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副总指挥：县政府办公室主任、县民政局局长</w:t>
      </w:r>
    </w:p>
    <w:p w14:paraId="4BF3B0E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成　　员：县委宣传部、县民政局、县公安局、县卫生健康局、县应急管理局、县住建局、县财政局、县民宗局负责同志，各乡（镇）人民政府负责同志。</w:t>
      </w:r>
    </w:p>
    <w:p w14:paraId="5A8F613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指挥部职责：统一领导全县突发事件遇难人员遗体处置工作；研究决定遗体处置重大事项；统筹协调各成员单位力量；对接上级遗体处置协调机构；督促指导各乡（镇）开展遗体处置工作。</w:t>
      </w:r>
    </w:p>
    <w:p w14:paraId="6CC8B77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（二）指挥部办公室</w:t>
      </w:r>
    </w:p>
    <w:p w14:paraId="6F46659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县遗体处置指挥部下设办公室，办公室设在县民政局，作为日常办事机构。</w:t>
      </w:r>
    </w:p>
    <w:p w14:paraId="2F19A50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主　　任：县民政局局长</w:t>
      </w:r>
    </w:p>
    <w:p w14:paraId="52BD874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成　　员：县委宣传部、县公安局、县卫生健康局、县应急管理局、县住建局、县财政局、县民宗局及各乡（镇）相关负责同志。</w:t>
      </w:r>
    </w:p>
    <w:p w14:paraId="79A228A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办公室职责：承担应急值守、信息报送、上传下达、统筹协调等日常工作；汇总分析遇难人员信息，及时上报遗体处置工作动态；协调指挥部各成员单位开展应急联动；督促各项遗体处置措施落实到位。</w:t>
      </w:r>
    </w:p>
    <w:p w14:paraId="49DC8CC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（三）成员单位职责</w:t>
      </w:r>
    </w:p>
    <w:p w14:paraId="17553040">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1.县民政局（牵头单位）：</w:t>
      </w:r>
      <w:r>
        <w:rPr>
          <w:rFonts w:hint="eastAsia" w:ascii="仿宋_GB2312" w:hAnsi="仿宋_GB2312" w:eastAsia="仿宋_GB2312" w:cs="仿宋_GB2312"/>
          <w:color w:val="auto"/>
          <w:kern w:val="0"/>
          <w:sz w:val="32"/>
          <w:szCs w:val="32"/>
          <w:lang w:val="en-US" w:eastAsia="zh-CN" w:bidi="ar"/>
        </w:rPr>
        <w:t>牵头落实本县域突发事件遇难人员遗体处置工作，具体由县殡葬服务中心承接遗体接运、暂存、消杀、火化、安葬等具体处置工作。负责统计遇难人员基础信息，对接家属开展登记、接待、善后安抚工作；规范建立处置台账、全过程档案并长期归档。结合肃南县偏远乡镇多、路途远的实际，牵头与邻县殡仪服务机构建立跨区域应急互助机制，处置力量不足时，逐级申请上级民政部门支援。</w:t>
      </w:r>
    </w:p>
    <w:p w14:paraId="26CA5666">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2.县公安局：</w:t>
      </w:r>
      <w:r>
        <w:rPr>
          <w:rFonts w:hint="eastAsia" w:ascii="仿宋_GB2312" w:hAnsi="仿宋_GB2312" w:eastAsia="仿宋_GB2312" w:cs="仿宋_GB2312"/>
          <w:color w:val="auto"/>
          <w:kern w:val="0"/>
          <w:sz w:val="32"/>
          <w:szCs w:val="32"/>
          <w:lang w:val="en-US" w:eastAsia="zh-CN" w:bidi="ar"/>
        </w:rPr>
        <w:t>负责县域内突发事件遇难人员遗体身份核实、认定工作，依规开展遗体编号、拍照、检材提取、遗物登记等工作，依法出具《居民死亡医学证明（推断）书》。负责遗体处置、转运现场治安管控，维护现场秩序。妥善处置家属拒火化、阻挠处置等矛盾问题，依法打击遗体处置过程中的违法行为及网络造谣传谣行为。</w:t>
      </w:r>
    </w:p>
    <w:p w14:paraId="00206CF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3.县卫生健康局：</w:t>
      </w:r>
      <w:r>
        <w:rPr>
          <w:rFonts w:hint="eastAsia" w:ascii="仿宋_GB2312" w:hAnsi="仿宋_GB2312" w:eastAsia="仿宋_GB2312" w:cs="仿宋_GB2312"/>
          <w:color w:val="auto"/>
          <w:kern w:val="0"/>
          <w:sz w:val="32"/>
          <w:szCs w:val="32"/>
          <w:lang w:val="en-US" w:eastAsia="zh-CN" w:bidi="ar"/>
        </w:rPr>
        <w:t>负责指导全县遗体处置卫生防疫工作，明确遗体消杀、防腐、防护实操标准。督促医疗机构规范移交遇难人员遗体，依法出具经抢救后死亡人员《居民死亡医学证明（推断）书》。指导疾控部门对殡葬作业场所、设备开展防疫消杀，对一线处置人员开展防护培训。根据县域应急处置需求，按需派驻医护人员、应急车辆开展现场防疫和医疗保障。</w:t>
      </w:r>
    </w:p>
    <w:p w14:paraId="118681F5">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4.县应急管理局：</w:t>
      </w:r>
      <w:r>
        <w:rPr>
          <w:rFonts w:hint="eastAsia" w:ascii="仿宋_GB2312" w:hAnsi="仿宋_GB2312" w:eastAsia="仿宋_GB2312" w:cs="仿宋_GB2312"/>
          <w:color w:val="auto"/>
          <w:kern w:val="0"/>
          <w:sz w:val="32"/>
          <w:szCs w:val="32"/>
          <w:lang w:val="en-US" w:eastAsia="zh-CN" w:bidi="ar"/>
        </w:rPr>
        <w:t>突发事件发生后，第一时间协调消防救援等力量组织开展现场搜救、人员排查，牵头协调前期遗体搜寻和现场转运衔接工作。及时共享灾害类型、受灾范围、现场险情等核心信息，统筹现场应急救援工作，为遗体安全、快速转运处置提供现场保障。</w:t>
      </w:r>
    </w:p>
    <w:p w14:paraId="7CB07CF6">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5.县住建局：</w:t>
      </w:r>
      <w:r>
        <w:rPr>
          <w:rFonts w:hint="eastAsia" w:ascii="仿宋_GB2312" w:hAnsi="仿宋_GB2312" w:eastAsia="仿宋_GB2312" w:cs="仿宋_GB2312"/>
          <w:color w:val="auto"/>
          <w:kern w:val="0"/>
          <w:sz w:val="32"/>
          <w:szCs w:val="32"/>
          <w:lang w:val="en-US" w:eastAsia="zh-CN" w:bidi="ar"/>
        </w:rPr>
        <w:t>优先保障县域遗体转运车辆通行便利，落实应急通行保障政策。根据处置需求协调合规运输车辆，极端天气、道路损毁等情况，优先抢通遗体运输关键路段，保障县城及偏远乡镇遗体转运通道畅通。</w:t>
      </w:r>
    </w:p>
    <w:p w14:paraId="12A7C74F">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6.县财政局：</w:t>
      </w:r>
      <w:r>
        <w:rPr>
          <w:rFonts w:hint="eastAsia" w:ascii="仿宋_GB2312" w:hAnsi="仿宋_GB2312" w:eastAsia="仿宋_GB2312" w:cs="仿宋_GB2312"/>
          <w:color w:val="auto"/>
          <w:kern w:val="0"/>
          <w:sz w:val="32"/>
          <w:szCs w:val="32"/>
          <w:lang w:val="en-US" w:eastAsia="zh-CN" w:bidi="ar"/>
        </w:rPr>
        <w:t>按照财政保障机制，足额保障遗体处置专项经费。</w:t>
      </w:r>
    </w:p>
    <w:p w14:paraId="5DFA273E">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7.县委宣传部：</w:t>
      </w:r>
      <w:r>
        <w:rPr>
          <w:rFonts w:hint="eastAsia" w:ascii="仿宋_GB2312" w:hAnsi="仿宋_GB2312" w:eastAsia="仿宋_GB2312" w:cs="仿宋_GB2312"/>
          <w:color w:val="auto"/>
          <w:kern w:val="0"/>
          <w:sz w:val="32"/>
          <w:szCs w:val="32"/>
          <w:lang w:val="en-US" w:eastAsia="zh-CN" w:bidi="ar"/>
        </w:rPr>
        <w:t>严格按照县委、县政府统一口径，规范突发事件信息发布工作。统筹县域媒体开展正面宣传，常态化监测网络舆情，及时处置不实信息、回应社会关切，稳妥做好舆论引导工作。</w:t>
      </w:r>
    </w:p>
    <w:p w14:paraId="0DFED420">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8.县民宗局：</w:t>
      </w:r>
      <w:r>
        <w:rPr>
          <w:rFonts w:hint="eastAsia" w:ascii="仿宋_GB2312" w:hAnsi="仿宋_GB2312" w:eastAsia="仿宋_GB2312" w:cs="仿宋_GB2312"/>
          <w:color w:val="auto"/>
          <w:kern w:val="0"/>
          <w:sz w:val="32"/>
          <w:szCs w:val="32"/>
          <w:lang w:val="en-US" w:eastAsia="zh-CN" w:bidi="ar"/>
        </w:rPr>
        <w:t>结合肃南县多民族聚居实际，全程指导遗体处置工作，严格尊重和保护少数民族丧葬习俗。</w:t>
      </w:r>
    </w:p>
    <w:p w14:paraId="37F562B6">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楷体_GB2312" w:hAnsi="楷体_GB2312" w:eastAsia="楷体_GB2312" w:cs="楷体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9.各乡（镇）人民政府：</w:t>
      </w:r>
      <w:r>
        <w:rPr>
          <w:rFonts w:hint="eastAsia" w:ascii="仿宋_GB2312" w:hAnsi="仿宋_GB2312" w:eastAsia="仿宋_GB2312" w:cs="仿宋_GB2312"/>
          <w:color w:val="auto"/>
          <w:kern w:val="0"/>
          <w:sz w:val="32"/>
          <w:szCs w:val="32"/>
          <w:lang w:val="en-US" w:eastAsia="zh-CN" w:bidi="ar"/>
        </w:rPr>
        <w:t>落实属地主体责任，负责辖区突发事件现场摸排、人员核查，配合县直部门开展遗体搜寻、现场看护、短途转运衔接等工作。第一时间对接遇难家属开展安抚疏导，按时上报处置动态、人员信息及各类隐患情况。负责本辖区临时遗体停放点的设置、管控、消杀及和日常管理，切实补齐偏远乡镇应急处置短板。</w:t>
      </w:r>
    </w:p>
    <w:p w14:paraId="4E9D2DE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（四）县殡葬服务中心职责</w:t>
      </w:r>
    </w:p>
    <w:p w14:paraId="683BB49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县殡葬服务中心为遗体处置具体实施单位，主要职责如下：</w:t>
      </w:r>
    </w:p>
    <w:p w14:paraId="20B97E6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1.制定本单位遇难人员遗体处置应急预案，预先做好运尸车、冷藏棺、冷冻柜、火化机等殡葬专用设备的检修或调试工作，并对相关管理服务人员进行应急培训。</w:t>
      </w:r>
    </w:p>
    <w:p w14:paraId="46DCDE2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2.突发事件发生后，即刻启动应急响应，依规开展遇难人员遗体接运、消毒、存放、火化、安葬等处置工作。</w:t>
      </w:r>
    </w:p>
    <w:p w14:paraId="2B5B70C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3.严格执行遗体交接管理制度，逐项核对遗体编号、随身标识、遗体状态等信息，规范填写处置登记资料，完成交接双方签字确认，确保信息真实准确。</w:t>
      </w:r>
    </w:p>
    <w:p w14:paraId="63E8D4B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4.严格落实传染病死亡遗体专项处置规定，设置专用处置通道，实行分区隔离处置。规范配备一线作业人员防护装备，组织开展专项安全防护培训，杜绝交叉感染风险。</w:t>
      </w:r>
    </w:p>
    <w:p w14:paraId="766A111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5.建立遗体处置专项台账及完整工作档案，细化各环节登记记录，实现全流程可追溯、可核查。</w:t>
      </w:r>
    </w:p>
    <w:p w14:paraId="6325B66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6.负责遇难人员家属接待、信息登记，依规做好各项善后服务工作。</w:t>
      </w:r>
    </w:p>
    <w:p w14:paraId="12E6005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7.实时梳理处置工作情况，定期向县民政局报送工作进展，及时上报处置工作中存在的困难和问题。</w:t>
      </w:r>
    </w:p>
    <w:p w14:paraId="64F09C7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（五）局机关相关股室职责</w:t>
      </w:r>
    </w:p>
    <w:p w14:paraId="6511934E">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1.办公室（综合协调与资金保障）：</w:t>
      </w:r>
      <w:r>
        <w:rPr>
          <w:rFonts w:hint="eastAsia" w:ascii="仿宋_GB2312" w:hAnsi="仿宋_GB2312" w:eastAsia="仿宋_GB2312" w:cs="仿宋_GB2312"/>
          <w:color w:val="auto"/>
          <w:kern w:val="0"/>
          <w:sz w:val="32"/>
          <w:szCs w:val="32"/>
          <w:lang w:val="en-US" w:eastAsia="zh-CN" w:bidi="ar"/>
        </w:rPr>
        <w:t>负责24小时应急值班值守、综合协调、信息报送、会议组织、后勤保障、车辆调度、舆情引导工作。对接上级民政部门、县级遗体处置指挥部，开展上下沟通联络。统筹落实遗体处置应急资金预算、拨付、监管及专款专用管理，负责应急物资采购、储备与保障工作。</w:t>
      </w:r>
    </w:p>
    <w:p w14:paraId="65F5B304">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2.社会救助与核对股（困难帮扶）：</w:t>
      </w:r>
      <w:r>
        <w:rPr>
          <w:rFonts w:hint="eastAsia" w:ascii="仿宋_GB2312" w:hAnsi="仿宋_GB2312" w:eastAsia="仿宋_GB2312" w:cs="仿宋_GB2312"/>
          <w:color w:val="auto"/>
          <w:kern w:val="0"/>
          <w:sz w:val="32"/>
          <w:szCs w:val="32"/>
          <w:lang w:val="en-US" w:eastAsia="zh-CN" w:bidi="ar"/>
        </w:rPr>
        <w:t>负责落实遇难人员家属抚慰金发放及善后处置相关政策，牵头开展跨区域遗体处置协作对接工作。排查认定突发事件遇难致困家庭，对符合救助政策条件的家庭，依规纳入最低生活保障、特困人员救助供养、临时救助等社会救助保障范围，落实兜底保障政策，做到应保尽保。</w:t>
      </w:r>
    </w:p>
    <w:p w14:paraId="63FE41E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 xml:space="preserve"> 三、应急保障</w:t>
      </w:r>
    </w:p>
    <w:p w14:paraId="2652274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（一）日常准备</w:t>
      </w:r>
    </w:p>
    <w:p w14:paraId="1514369E">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1.设施设备保障。</w:t>
      </w:r>
      <w:r>
        <w:rPr>
          <w:rFonts w:hint="eastAsia" w:ascii="仿宋_GB2312" w:hAnsi="仿宋_GB2312" w:eastAsia="仿宋_GB2312" w:cs="仿宋_GB2312"/>
          <w:color w:val="auto"/>
          <w:kern w:val="0"/>
          <w:sz w:val="32"/>
          <w:szCs w:val="32"/>
          <w:lang w:val="en-US" w:eastAsia="zh-CN" w:bidi="ar"/>
        </w:rPr>
        <w:t>县殡葬服务中心负责运尸车、冷藏棺、冷冻柜、火化机等殡葬专用设备的日常维护与定期检修，保障各类设备常态处于完好运行状态，满足应急处置需求。</w:t>
      </w:r>
    </w:p>
    <w:p w14:paraId="31DAAB3F">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2.应急物资储备。</w:t>
      </w:r>
      <w:r>
        <w:rPr>
          <w:rFonts w:hint="eastAsia" w:ascii="仿宋_GB2312" w:hAnsi="仿宋_GB2312" w:eastAsia="仿宋_GB2312" w:cs="仿宋_GB2312"/>
          <w:color w:val="auto"/>
          <w:kern w:val="0"/>
          <w:sz w:val="32"/>
          <w:szCs w:val="32"/>
          <w:lang w:val="en-US" w:eastAsia="zh-CN" w:bidi="ar"/>
        </w:rPr>
        <w:t>常态化储备足额应急处置物资，主要包含遗体袋、消杀药剂、全套防护用具、冷藏设备、遗体标识标签等，确保应急状态下足额可用。</w:t>
      </w:r>
    </w:p>
    <w:p w14:paraId="0CC51C21">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3.应急培训。</w:t>
      </w:r>
      <w:r>
        <w:rPr>
          <w:rFonts w:hint="eastAsia" w:ascii="仿宋_GB2312" w:hAnsi="仿宋_GB2312" w:eastAsia="仿宋_GB2312" w:cs="仿宋_GB2312"/>
          <w:color w:val="auto"/>
          <w:kern w:val="0"/>
          <w:sz w:val="32"/>
          <w:szCs w:val="32"/>
          <w:lang w:val="en-US" w:eastAsia="zh-CN" w:bidi="ar"/>
        </w:rPr>
        <w:t>定期组织在岗工作人员开展应急业务培训，内容涵盖卫生防疫、安全防护、遗体处置规范流程、家属沟通及善后服务等专业内容，提升从业人员应急处置专业能力。</w:t>
      </w:r>
    </w:p>
    <w:p w14:paraId="40BAD76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4.应急演练。</w:t>
      </w:r>
      <w:r>
        <w:rPr>
          <w:rFonts w:hint="eastAsia" w:ascii="仿宋_GB2312" w:hAnsi="仿宋_GB2312" w:eastAsia="仿宋_GB2312" w:cs="仿宋_GB2312"/>
          <w:color w:val="auto"/>
          <w:kern w:val="0"/>
          <w:sz w:val="32"/>
          <w:szCs w:val="32"/>
          <w:lang w:val="en-US" w:eastAsia="zh-CN" w:bidi="ar"/>
        </w:rPr>
        <w:t>县殡葬服务中心每年至少组织1次遗体处置应急演练，检验预案可行性和应急处置实效性，提升协同作战和快速反应能力。</w:t>
      </w:r>
    </w:p>
    <w:p w14:paraId="4C7F7EB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（二）应急能力评估</w:t>
      </w:r>
    </w:p>
    <w:p w14:paraId="3EAA91A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县民政局应根据遇难人员殡仪服务需求情况，全面摸清本地区第一时间可调用的殡仪服务力量、设施、设备、物资等资源状况，具体包括：</w:t>
      </w:r>
    </w:p>
    <w:p w14:paraId="540F566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1.设施容量评估。</w:t>
      </w:r>
      <w:r>
        <w:rPr>
          <w:rFonts w:hint="eastAsia" w:ascii="仿宋_GB2312" w:hAnsi="仿宋_GB2312" w:eastAsia="仿宋_GB2312" w:cs="仿宋_GB2312"/>
          <w:color w:val="auto"/>
          <w:kern w:val="0"/>
          <w:sz w:val="32"/>
          <w:szCs w:val="32"/>
          <w:lang w:val="en-US" w:eastAsia="zh-CN" w:bidi="ar"/>
        </w:rPr>
        <w:t>县殡仪馆设有3间吊唁厅、1间骨灰存放室、1间遗体消毒整容室、2栋管理用房（配套厨房3间、餐厅3间、会客室3间及休息室3间、公共卫生间1间）。喇嘛坪火葬设施服务用房设有门厅、更衣消毒室、家属休息室、取灰室、办公室、电控室、卫生间、火化室等。需评估极端情况下最大遗体处置容量。</w:t>
      </w:r>
    </w:p>
    <w:p w14:paraId="1648410E">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2.设备能力评估。</w:t>
      </w:r>
      <w:r>
        <w:rPr>
          <w:rFonts w:hint="eastAsia" w:ascii="仿宋_GB2312" w:hAnsi="仿宋_GB2312" w:eastAsia="仿宋_GB2312" w:cs="仿宋_GB2312"/>
          <w:color w:val="auto"/>
          <w:kern w:val="0"/>
          <w:sz w:val="32"/>
          <w:szCs w:val="32"/>
          <w:lang w:val="en-US" w:eastAsia="zh-CN" w:bidi="ar"/>
        </w:rPr>
        <w:t>配备殡仪服务车1辆、智能环保彩体拣灰火化机3台（平躺式拣灰火化机1台、座式塔形火化机1台、防疫专用火化机1台）。需评估满负荷运转下的日处置能力。</w:t>
      </w:r>
    </w:p>
    <w:p w14:paraId="57D4E0E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3.人员力量评估。</w:t>
      </w:r>
      <w:r>
        <w:rPr>
          <w:rFonts w:hint="eastAsia" w:ascii="仿宋_GB2312" w:hAnsi="仿宋_GB2312" w:eastAsia="仿宋_GB2312" w:cs="仿宋_GB2312"/>
          <w:color w:val="auto"/>
          <w:kern w:val="0"/>
          <w:sz w:val="32"/>
          <w:szCs w:val="32"/>
          <w:lang w:val="en-US" w:eastAsia="zh-CN" w:bidi="ar"/>
        </w:rPr>
        <w:t>殡葬服务中心现有工作人员7名（殡仪馆2名、火葬场及喇嘛坪公墓2名、局机关3名）。</w:t>
      </w:r>
    </w:p>
    <w:p w14:paraId="3608DB6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4.备用场所评估。</w:t>
      </w:r>
      <w:r>
        <w:rPr>
          <w:rFonts w:hint="eastAsia" w:ascii="仿宋_GB2312" w:hAnsi="仿宋_GB2312" w:eastAsia="仿宋_GB2312" w:cs="仿宋_GB2312"/>
          <w:color w:val="auto"/>
          <w:kern w:val="0"/>
          <w:sz w:val="32"/>
          <w:szCs w:val="32"/>
          <w:lang w:val="en-US" w:eastAsia="zh-CN" w:bidi="ar"/>
        </w:rPr>
        <w:t>县内现有殡葬设施5处，包括殡仪馆1处（大河乡喇嘛湾村）、便民服务治丧点1处（祁丰藏族乡）、公益性公墓1处（大河乡喇嘛坪北端）、农村公益性墓地2处（大河乡天桥湾村、皇城镇红旗村）。必要时可协调启用备用场所。</w:t>
      </w:r>
    </w:p>
    <w:p w14:paraId="19A609D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（三）分区处置方案</w:t>
      </w:r>
    </w:p>
    <w:p w14:paraId="74BB971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根据全县各乡镇地理位置、交通条件和实际距离，将县域划分为三个处置片区：</w:t>
      </w:r>
    </w:p>
    <w:p w14:paraId="38FCCB0E">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1.核心处置区（县城辐射区）。</w:t>
      </w:r>
      <w:r>
        <w:rPr>
          <w:rFonts w:hint="eastAsia" w:ascii="仿宋_GB2312" w:hAnsi="仿宋_GB2312" w:eastAsia="仿宋_GB2312" w:cs="仿宋_GB2312"/>
          <w:color w:val="auto"/>
          <w:kern w:val="0"/>
          <w:sz w:val="32"/>
          <w:szCs w:val="32"/>
          <w:lang w:val="en-US" w:eastAsia="zh-CN" w:bidi="ar"/>
        </w:rPr>
        <w:t>包括大河乡、康乐镇、白银乡。由县殡葬服务中心（殡仪馆）直接承担遗体接运、暂存、火化、安葬等全流程处置任务。</w:t>
      </w:r>
    </w:p>
    <w:p w14:paraId="4706312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2.就近协作处置区。</w:t>
      </w:r>
      <w:r>
        <w:rPr>
          <w:rFonts w:hint="eastAsia" w:ascii="仿宋_GB2312" w:hAnsi="仿宋_GB2312" w:eastAsia="仿宋_GB2312" w:cs="仿宋_GB2312"/>
          <w:color w:val="auto"/>
          <w:kern w:val="0"/>
          <w:sz w:val="32"/>
          <w:szCs w:val="32"/>
          <w:lang w:val="en-US" w:eastAsia="zh-CN" w:bidi="ar"/>
        </w:rPr>
        <w:t>包括祁丰藏族乡、明花镇、马蹄藏族乡、皇城镇等距离县城较远的乡镇。祁丰藏族乡优先协调嘉峪关市或酒泉市肃州区殡仪服务机构承担遗体处置任务；马蹄藏族乡优先协调张掖市甘州区或民乐县殡仪服务机构承担遗体处置任务；明花镇距县城约80公里，可协调邻近高台县殡仪服务机构，或由县殡葬服务中心视情安排接运处置；皇城镇距县城约325公里，单程车程约5小时，可协调金昌市永昌县或武威市凉州区殡仪服务机构就近承担遗体处置任务。</w:t>
      </w:r>
    </w:p>
    <w:p w14:paraId="38E21E9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四、应急响应</w:t>
      </w:r>
    </w:p>
    <w:p w14:paraId="6E269E5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（一）响应启动</w:t>
      </w:r>
    </w:p>
    <w:p w14:paraId="550EBB3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突发事件发生后，县民政局办公室第一时间收集遇难人员信息，研判遗体处置需求，及时向县遗体处置指挥部汇报。由指挥部确定启动遗体处置应急响应，各成员单位立即进入应急状态，开展相关处置工作。</w:t>
      </w:r>
    </w:p>
    <w:p w14:paraId="30026C6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（二）应急响应</w:t>
      </w:r>
    </w:p>
    <w:p w14:paraId="4B29CD0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根据突发事件遇难人员数量、遗体处置难度和影响范围，遗体处置应急响应分为一般响应和重大响应两个等级：</w:t>
      </w:r>
    </w:p>
    <w:p w14:paraId="52868B9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1.一般响应。</w:t>
      </w:r>
      <w:r>
        <w:rPr>
          <w:rFonts w:hint="eastAsia" w:ascii="仿宋_GB2312" w:hAnsi="仿宋_GB2312" w:eastAsia="仿宋_GB2312" w:cs="仿宋_GB2312"/>
          <w:color w:val="auto"/>
          <w:kern w:val="0"/>
          <w:sz w:val="32"/>
          <w:szCs w:val="32"/>
          <w:lang w:val="en-US" w:eastAsia="zh-CN" w:bidi="ar"/>
        </w:rPr>
        <w:t>遇难人员较少（10人以下），县殡葬服务中心可独立承担遗体处置任务时，由县遗体处置指挥部启动一般响应，县民政局牵头协调各成员单位按职责开展遗体处置工作。</w:t>
      </w:r>
    </w:p>
    <w:p w14:paraId="0D4F4467">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2.重大响应。</w:t>
      </w:r>
      <w:r>
        <w:rPr>
          <w:rFonts w:hint="eastAsia" w:ascii="仿宋_GB2312" w:hAnsi="仿宋_GB2312" w:eastAsia="仿宋_GB2312" w:cs="仿宋_GB2312"/>
          <w:color w:val="auto"/>
          <w:kern w:val="0"/>
          <w:sz w:val="32"/>
          <w:szCs w:val="32"/>
          <w:lang w:val="en-US" w:eastAsia="zh-CN" w:bidi="ar"/>
        </w:rPr>
        <w:t>遇难人员较多（10人及以上），县殡葬服务中心无法独立承担遗体处置任务时，由县遗体处置指挥部启动重大响应。县民政局协调邻近县区殡仪服务机构予以分担；同时请求上级民政部门给予工作指导和协调支持。</w:t>
      </w:r>
    </w:p>
    <w:p w14:paraId="377F53F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（三）分区响应措施</w:t>
      </w:r>
    </w:p>
    <w:p w14:paraId="2CD7ED91">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1.核心处置区响应措施。</w:t>
      </w:r>
      <w:r>
        <w:rPr>
          <w:rFonts w:hint="eastAsia" w:ascii="仿宋_GB2312" w:hAnsi="仿宋_GB2312" w:eastAsia="仿宋_GB2312" w:cs="仿宋_GB2312"/>
          <w:color w:val="auto"/>
          <w:kern w:val="0"/>
          <w:sz w:val="32"/>
          <w:szCs w:val="32"/>
          <w:lang w:val="en-US" w:eastAsia="zh-CN" w:bidi="ar"/>
        </w:rPr>
        <w:t>县殡葬服务中心立即启动应急机制，全员到岗；安排殡仪服务车前往现场接运遗体；做好冷藏、火化等设备运行准备；按照遗体处置流程规范操作。</w:t>
      </w:r>
    </w:p>
    <w:p w14:paraId="23B582E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2.就近协作处置区响应措施。</w:t>
      </w:r>
      <w:r>
        <w:rPr>
          <w:rFonts w:hint="eastAsia" w:ascii="仿宋_GB2312" w:hAnsi="仿宋_GB2312" w:eastAsia="仿宋_GB2312" w:cs="仿宋_GB2312"/>
          <w:color w:val="auto"/>
          <w:kern w:val="0"/>
          <w:sz w:val="32"/>
          <w:szCs w:val="32"/>
          <w:lang w:val="en-US" w:eastAsia="zh-CN" w:bidi="ar"/>
        </w:rPr>
        <w:t>事发乡镇人民政府第一时间向县遗体处置指挥部上报遇难人员情况。县遗体处置指挥部按事发乡镇所属片区，立即启动协作处置机制，协调协议殡仪服务机构接运处置遗体。协作机构无法承接的，由县殡葬服务中心派车接运，提前告知家属运输时间并做好解释。交通中断、恶劣天气致遗体无法及时外运的，启用乡镇遗体临时停放点，落实消毒、冷藏、安保措施，待交通恢复后及时转运。</w:t>
      </w:r>
    </w:p>
    <w:p w14:paraId="7DCED43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（四）遗体接运时限要求</w:t>
      </w:r>
    </w:p>
    <w:p w14:paraId="6B4040A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县域遗体转运实行分区限时处置机制，其中大河乡、康乐镇、白银乡划为核心处置区，接到处置指令后需1小时内抵达现场开展处置工作，明花镇、祁丰乡、马蹄乡、皇城镇等乡镇划为就近协作处置区，由协调协作殡仪服务机构承接接运工作，原则上从接到指令至遗体运抵协作处置机构全程不超过4小时。</w:t>
      </w:r>
    </w:p>
    <w:p w14:paraId="1F2A48D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（五）遗体处置措施</w:t>
      </w:r>
    </w:p>
    <w:p w14:paraId="63D95EFB">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1.信息收集与报送。</w:t>
      </w:r>
      <w:r>
        <w:rPr>
          <w:rFonts w:hint="eastAsia" w:ascii="仿宋_GB2312" w:hAnsi="仿宋_GB2312" w:eastAsia="仿宋_GB2312" w:cs="仿宋_GB2312"/>
          <w:color w:val="auto"/>
          <w:kern w:val="0"/>
          <w:sz w:val="32"/>
          <w:szCs w:val="32"/>
          <w:lang w:val="en-US" w:eastAsia="zh-CN" w:bidi="ar"/>
        </w:rPr>
        <w:t>突发事件发生后，各乡（镇）人民政府、县公安局、县卫生健康局第一时间摸排归集遇难人员信息，统一报送至县遗体处置指挥部办公室（县民政局）。县民政局动态汇总现场处置、机构保障、工作推进、存在困难等情况，及时上报县突发事件处置指挥机构和市民政局。严格执行分级报送制度，杜绝迟报、漏报、瞒报。</w:t>
      </w:r>
    </w:p>
    <w:p w14:paraId="62173555">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2.遗体处置与接运。</w:t>
      </w:r>
      <w:r>
        <w:rPr>
          <w:rFonts w:hint="eastAsia" w:ascii="仿宋_GB2312" w:hAnsi="仿宋_GB2312" w:eastAsia="仿宋_GB2312" w:cs="仿宋_GB2312"/>
          <w:color w:val="auto"/>
          <w:kern w:val="0"/>
          <w:sz w:val="32"/>
          <w:szCs w:val="32"/>
          <w:lang w:val="en-US" w:eastAsia="zh-CN" w:bidi="ar"/>
        </w:rPr>
        <w:t>遇难人员遗体发现后，各相关单位依据职责分工协同配合、联动履职，规范开展遗体勘验核验、身份甄别、防疫处置、遗物管理及民俗保障等工作。接运环节严格落实现场核对、台账登记、签字交接制度，统一开展遗体消杀，全程使用专用殡葬车辆转运。针对传染病死亡遗体落实隔离处置、专人防护等举措，切实筑牢防疫安全防线。</w:t>
      </w:r>
    </w:p>
    <w:p w14:paraId="4B0377B3">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3.遗体火化与安葬。</w:t>
      </w:r>
      <w:r>
        <w:rPr>
          <w:rFonts w:hint="eastAsia" w:ascii="仿宋_GB2312" w:hAnsi="仿宋_GB2312" w:eastAsia="仿宋_GB2312" w:cs="仿宋_GB2312"/>
          <w:color w:val="auto"/>
          <w:kern w:val="0"/>
          <w:sz w:val="32"/>
          <w:szCs w:val="32"/>
          <w:lang w:val="en-US" w:eastAsia="zh-CN" w:bidi="ar"/>
        </w:rPr>
        <w:t>完成遗体身份核实、手续核验后，严格依照殡葬相关政策，充分尊重家属意愿，依规有序开展火化工作。全程落实核验核查机制，规范殡葬作业流程，保持处置过程庄重合规。火化后对骨灰进行规范封存、妥善保管，健全管理台账；对身份无法辨认的遗体，开展拍照取证，严格做好信息登记，依规妥善处置。</w:t>
      </w:r>
    </w:p>
    <w:p w14:paraId="79E3F71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4.场所消毒与善后。</w:t>
      </w:r>
      <w:r>
        <w:rPr>
          <w:rFonts w:hint="eastAsia" w:ascii="仿宋_GB2312" w:hAnsi="仿宋_GB2312" w:eastAsia="仿宋_GB2312" w:cs="仿宋_GB2312"/>
          <w:color w:val="auto"/>
          <w:kern w:val="0"/>
          <w:sz w:val="32"/>
          <w:szCs w:val="32"/>
          <w:lang w:val="en-US" w:eastAsia="zh-CN" w:bidi="ar"/>
        </w:rPr>
        <w:t>遗体处置工作完成后，由疾控中心指导殡葬机构对作业场地、设施设备、转运车辆开展全方位消杀，对殡仪废弃物进行无害化处理，彻底消除次生防疫隐患。民政部门专人专班跟进善后工作，做好家属接待、政策解读和情绪安抚，衔接落实困难家庭救助帮扶，尊重少数民族丧葬民俗，稳妥化解各类潜在矛盾。</w:t>
      </w:r>
    </w:p>
    <w:p w14:paraId="650045B5">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5.信息发布与舆情引导。</w:t>
      </w:r>
      <w:r>
        <w:rPr>
          <w:rFonts w:hint="eastAsia" w:ascii="仿宋_GB2312" w:hAnsi="仿宋_GB2312" w:eastAsia="仿宋_GB2312" w:cs="仿宋_GB2312"/>
          <w:color w:val="auto"/>
          <w:kern w:val="0"/>
          <w:sz w:val="32"/>
          <w:szCs w:val="32"/>
          <w:lang w:val="en-US" w:eastAsia="zh-CN" w:bidi="ar"/>
        </w:rPr>
        <w:t>遗体处置相关信息由县委、县政府统一统筹规范发布，保障信息权威、准确、统一。宣传部门负责对接媒体发布官方信息，常态化开展网络舆情监测、研判与处置，及时回应社会关切。严格落实舆情管控责任，快速核查处置不实负面信息，坚决杜绝造谣炒作问题，全力维护辖区清朗稳定的网络舆论环境。</w:t>
      </w:r>
    </w:p>
    <w:p w14:paraId="0927603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五、保障措施</w:t>
      </w:r>
    </w:p>
    <w:p w14:paraId="5BD288C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（一）资金保障</w:t>
      </w:r>
    </w:p>
    <w:p w14:paraId="4CA1929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县财政局足额保障突发事件遗体处置专项经费，覆盖遗体运输、消杀防疫、物资购置、服务保障等开支并按规定及时拨付。县民政局积极争取上级专项扶持资金，健全常态化资金保障机制。规范资金审批流程，强化全过程监管，落实专款专用，严防资金违规使用。</w:t>
      </w:r>
    </w:p>
    <w:p w14:paraId="70BAB2C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（二）设施设备保障</w:t>
      </w:r>
    </w:p>
    <w:p w14:paraId="70DC65C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县殡葬服务中心做好运尸车、冷藏棺、火化机等殡葬专用设施日常维护检修，确保设备随时可用；储备遗体袋、消杀用品、防护用具等应急物资，满足处置需要。应急力量与设备不足时，通过跨区域协作机制，协调邻近县区殡仪机构提供设施设备支援。</w:t>
      </w:r>
    </w:p>
    <w:p w14:paraId="1E60505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（三）人员保障</w:t>
      </w:r>
    </w:p>
    <w:p w14:paraId="1DB8749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强化殡葬服务中心队伍建设，配齐遗体处置专业力量，常态化组织应急业务培训，提升从业人员专业及应急处置能力。发生大规模突发事件人员缺口较大时，协调邻近县区殡葬专业人员支援。同时关注一线殡葬职工心理状态，必要时开展心理疏导，舒缓心理压力。</w:t>
      </w:r>
    </w:p>
    <w:p w14:paraId="12AF469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（四）交通保障</w:t>
      </w:r>
    </w:p>
    <w:p w14:paraId="7816668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住建局落实应急通行政策，保障遗体转运车辆通行顺畅，统筹调配合规专用运输车辆，按需开辟遗体运输绿色通道。偏远乡镇摸排救护车、冷藏车等可用车辆资源，建立动态更新的应急运输车辆储备清单。遇道路损毁、交通中断，协调公安、住建优先抢通运输通道，视情启用非常规运输方式。</w:t>
      </w:r>
    </w:p>
    <w:p w14:paraId="159C6E2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（五）防疫保障</w:t>
      </w:r>
    </w:p>
    <w:p w14:paraId="0E42D72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县卫生健康局承担遗体卫生防疫指导职责，制定消毒、防腐标准化技术规范。疾控机构指导殡葬机构落实防疫工作，开展防护技能培训和场所设施消毒。严格执行传染病死亡遗体处置要求，落实隔离处置、分级防护措施，防范疫情风险。</w:t>
      </w:r>
    </w:p>
    <w:p w14:paraId="1B3F3A3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（六）纪律保障</w:t>
      </w:r>
    </w:p>
    <w:p w14:paraId="3F8B9D8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严格执行遗体处置工作责任制，对处置工作中履职担当、实绩突出的单位和个人予以表彰；对履职缺位、推诿拖延造成不良后果的，依规依纪依法追责问责。严肃查办遗体处置和善后服务中的违纪违法行为，保障各项工作规范有序开展。</w:t>
      </w:r>
    </w:p>
    <w:p w14:paraId="486D9F4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六、附则</w:t>
      </w:r>
    </w:p>
    <w:p w14:paraId="06C736C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bookmarkStart w:id="0" w:name="OLE_LINK2"/>
      <w:r>
        <w:rPr>
          <w:rFonts w:hint="eastAsia" w:ascii="楷体_GB2312" w:hAnsi="楷体_GB2312" w:eastAsia="楷体_GB2312" w:cs="楷体_GB2312"/>
          <w:color w:val="auto"/>
          <w:kern w:val="0"/>
          <w:sz w:val="32"/>
          <w:szCs w:val="32"/>
          <w:lang w:val="en-US" w:eastAsia="zh-CN" w:bidi="ar"/>
        </w:rPr>
        <w:t>（一）预案管理</w:t>
      </w:r>
      <w:bookmarkEnd w:id="0"/>
    </w:p>
    <w:p w14:paraId="0147C20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本预案由县民政局负责解释，根据上级政策调整、应急处置实践和实际工作需求，适时组织修订完善，报县应急管理部门备案。</w:t>
      </w:r>
    </w:p>
    <w:p w14:paraId="25FE38E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（二）预案演练</w:t>
      </w:r>
    </w:p>
    <w:p w14:paraId="60DFF95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县民政局定期组织县殡葬服务中心开展遗体处置应急演练，检验预案可行性和应急处置实效性，提升协同作战和快速反应能力。县殡葬服务中心每年至少组织1次遗体处置应急演练。</w:t>
      </w:r>
    </w:p>
    <w:p w14:paraId="2FDF9EC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楷体_GB2312" w:hAnsi="楷体_GB2312" w:eastAsia="楷体_GB2312" w:cs="楷体_GB2312"/>
          <w:color w:val="auto"/>
          <w:kern w:val="0"/>
          <w:sz w:val="32"/>
          <w:szCs w:val="32"/>
          <w:lang w:val="en-US" w:eastAsia="zh-CN" w:bidi="ar"/>
        </w:rPr>
      </w:pPr>
      <w:r>
        <w:rPr>
          <w:rFonts w:hint="eastAsia" w:ascii="楷体_GB2312" w:hAnsi="楷体_GB2312" w:eastAsia="楷体_GB2312" w:cs="楷体_GB2312"/>
          <w:color w:val="auto"/>
          <w:kern w:val="0"/>
          <w:sz w:val="32"/>
          <w:szCs w:val="32"/>
          <w:lang w:val="en-US" w:eastAsia="zh-CN" w:bidi="ar"/>
        </w:rPr>
        <w:t>（三）预案实施</w:t>
      </w:r>
    </w:p>
    <w:p w14:paraId="3543E86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本</w:t>
      </w:r>
      <w:bookmarkStart w:id="2" w:name="_GoBack"/>
      <w:bookmarkEnd w:id="2"/>
      <w:r>
        <w:rPr>
          <w:rFonts w:hint="eastAsia" w:ascii="仿宋_GB2312" w:hAnsi="仿宋_GB2312" w:eastAsia="仿宋_GB2312" w:cs="仿宋_GB2312"/>
          <w:color w:val="auto"/>
          <w:kern w:val="0"/>
          <w:sz w:val="32"/>
          <w:szCs w:val="32"/>
          <w:lang w:val="en-US" w:eastAsia="zh-CN" w:bidi="ar"/>
        </w:rPr>
        <w:t>预案自印发之日起正式实施。</w:t>
      </w:r>
    </w:p>
    <w:p w14:paraId="400B0025">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color w:val="auto"/>
          <w:kern w:val="0"/>
          <w:sz w:val="32"/>
          <w:szCs w:val="32"/>
          <w:lang w:val="en-US" w:eastAsia="zh-CN" w:bidi="ar"/>
        </w:rPr>
      </w:pPr>
    </w:p>
    <w:p w14:paraId="1B05E0D2">
      <w:pPr>
        <w:keepNext w:val="0"/>
        <w:keepLines w:val="0"/>
        <w:pageBreakBefore w:val="0"/>
        <w:widowControl w:val="0"/>
        <w:kinsoku/>
        <w:wordWrap/>
        <w:overflowPunct/>
        <w:topLinePunct w:val="0"/>
        <w:autoSpaceDE/>
        <w:autoSpaceDN/>
        <w:bidi w:val="0"/>
        <w:adjustRightInd/>
        <w:snapToGrid/>
        <w:spacing w:line="560" w:lineRule="exact"/>
        <w:ind w:left="320" w:leftChars="0" w:hanging="320" w:hangingChars="1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附件：</w:t>
      </w:r>
      <w:r>
        <w:rPr>
          <w:rFonts w:hint="eastAsia" w:ascii="仿宋_GB2312" w:hAnsi="仿宋_GB2312" w:eastAsia="仿宋_GB2312" w:cs="仿宋_GB2312"/>
          <w:color w:val="auto"/>
          <w:w w:val="98"/>
          <w:kern w:val="0"/>
          <w:sz w:val="32"/>
          <w:szCs w:val="32"/>
          <w:lang w:val="en-US" w:eastAsia="zh-CN" w:bidi="ar"/>
        </w:rPr>
        <w:t>1.肃南县突发事件遇难人员遗体处置指挥部成员名单</w:t>
      </w:r>
    </w:p>
    <w:p w14:paraId="2FAA4EE6">
      <w:pPr>
        <w:keepNext w:val="0"/>
        <w:keepLines w:val="0"/>
        <w:pageBreakBefore w:val="0"/>
        <w:widowControl w:val="0"/>
        <w:kinsoku/>
        <w:wordWrap/>
        <w:overflowPunct/>
        <w:topLinePunct w:val="0"/>
        <w:autoSpaceDE/>
        <w:autoSpaceDN/>
        <w:bidi w:val="0"/>
        <w:adjustRightInd/>
        <w:snapToGrid/>
        <w:spacing w:line="560" w:lineRule="exact"/>
        <w:ind w:left="0" w:leftChars="0" w:firstLine="1600" w:firstLineChars="5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2.肃南县遗体处置分区协作一览表</w:t>
      </w:r>
    </w:p>
    <w:p w14:paraId="6498D6A0">
      <w:pPr>
        <w:keepNext w:val="0"/>
        <w:keepLines w:val="0"/>
        <w:pageBreakBefore w:val="0"/>
        <w:widowControl w:val="0"/>
        <w:kinsoku/>
        <w:wordWrap/>
        <w:overflowPunct/>
        <w:topLinePunct w:val="0"/>
        <w:autoSpaceDE/>
        <w:autoSpaceDN/>
        <w:bidi w:val="0"/>
        <w:adjustRightInd/>
        <w:snapToGrid/>
        <w:spacing w:line="560" w:lineRule="exact"/>
        <w:ind w:left="0" w:leftChars="0" w:firstLine="1600" w:firstLineChars="5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3.跨区域遗体处置应急协作通讯录</w:t>
      </w:r>
    </w:p>
    <w:p w14:paraId="142904AF">
      <w:pPr>
        <w:keepNext w:val="0"/>
        <w:keepLines w:val="0"/>
        <w:pageBreakBefore w:val="0"/>
        <w:widowControl w:val="0"/>
        <w:kinsoku/>
        <w:wordWrap/>
        <w:overflowPunct/>
        <w:topLinePunct w:val="0"/>
        <w:autoSpaceDE/>
        <w:autoSpaceDN/>
        <w:bidi w:val="0"/>
        <w:adjustRightInd/>
        <w:snapToGrid/>
        <w:spacing w:line="560" w:lineRule="exact"/>
        <w:ind w:left="0" w:leftChars="0" w:firstLine="1600" w:firstLineChars="5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4.遇难人员遗体登记表</w:t>
      </w:r>
    </w:p>
    <w:p w14:paraId="667F90F9">
      <w:pPr>
        <w:keepNext w:val="0"/>
        <w:keepLines w:val="0"/>
        <w:pageBreakBefore w:val="0"/>
        <w:widowControl w:val="0"/>
        <w:kinsoku/>
        <w:wordWrap/>
        <w:overflowPunct/>
        <w:topLinePunct w:val="0"/>
        <w:autoSpaceDE/>
        <w:autoSpaceDN/>
        <w:bidi w:val="0"/>
        <w:adjustRightInd/>
        <w:snapToGrid/>
        <w:spacing w:line="560" w:lineRule="exact"/>
        <w:ind w:left="0" w:leftChars="0" w:firstLine="1600" w:firstLineChars="5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5.遗体交接确认单</w:t>
      </w:r>
    </w:p>
    <w:p w14:paraId="7F7767D7">
      <w:pPr>
        <w:keepNext w:val="0"/>
        <w:keepLines w:val="0"/>
        <w:pageBreakBefore w:val="0"/>
        <w:widowControl w:val="0"/>
        <w:kinsoku/>
        <w:wordWrap/>
        <w:overflowPunct/>
        <w:topLinePunct w:val="0"/>
        <w:autoSpaceDE/>
        <w:autoSpaceDN/>
        <w:bidi w:val="0"/>
        <w:adjustRightInd/>
        <w:snapToGrid/>
        <w:spacing w:line="560" w:lineRule="exact"/>
        <w:ind w:left="0" w:leftChars="0" w:firstLine="1600" w:firstLineChars="5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6.遗体存放登记台账</w:t>
      </w:r>
    </w:p>
    <w:p w14:paraId="010871E3">
      <w:pPr>
        <w:keepNext w:val="0"/>
        <w:keepLines w:val="0"/>
        <w:pageBreakBefore w:val="0"/>
        <w:widowControl w:val="0"/>
        <w:kinsoku/>
        <w:wordWrap/>
        <w:overflowPunct/>
        <w:topLinePunct w:val="0"/>
        <w:autoSpaceDE/>
        <w:autoSpaceDN/>
        <w:bidi w:val="0"/>
        <w:adjustRightInd/>
        <w:snapToGrid/>
        <w:spacing w:line="560" w:lineRule="exact"/>
        <w:ind w:left="0" w:leftChars="0" w:firstLine="1600" w:firstLineChars="5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7.遗体火化登记表</w:t>
      </w:r>
    </w:p>
    <w:p w14:paraId="53D0A83E">
      <w:pPr>
        <w:keepNext w:val="0"/>
        <w:keepLines w:val="0"/>
        <w:pageBreakBefore w:val="0"/>
        <w:widowControl w:val="0"/>
        <w:kinsoku/>
        <w:wordWrap/>
        <w:overflowPunct/>
        <w:topLinePunct w:val="0"/>
        <w:autoSpaceDE/>
        <w:autoSpaceDN/>
        <w:bidi w:val="0"/>
        <w:adjustRightInd/>
        <w:snapToGrid/>
        <w:spacing w:line="560" w:lineRule="exact"/>
        <w:ind w:left="0" w:leftChars="0" w:firstLine="1600" w:firstLineChars="5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8.遇难人员家属抚慰金发放登记表</w:t>
      </w:r>
    </w:p>
    <w:p w14:paraId="4D75DA3A">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color w:val="auto"/>
          <w:kern w:val="0"/>
          <w:sz w:val="32"/>
          <w:szCs w:val="32"/>
          <w:lang w:val="en-US" w:eastAsia="zh-CN" w:bidi="ar"/>
        </w:rPr>
      </w:pPr>
    </w:p>
    <w:p w14:paraId="55500871">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color w:val="auto"/>
          <w:kern w:val="0"/>
          <w:sz w:val="32"/>
          <w:szCs w:val="32"/>
          <w:lang w:val="en-US" w:eastAsia="zh-CN" w:bidi="ar"/>
        </w:rPr>
      </w:pPr>
    </w:p>
    <w:p w14:paraId="61221472">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color w:val="auto"/>
          <w:kern w:val="0"/>
          <w:sz w:val="32"/>
          <w:szCs w:val="32"/>
          <w:lang w:val="en-US" w:eastAsia="zh-CN" w:bidi="ar"/>
        </w:rPr>
      </w:pPr>
    </w:p>
    <w:p w14:paraId="5EF6EE3B">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color w:val="auto"/>
          <w:kern w:val="0"/>
          <w:sz w:val="32"/>
          <w:szCs w:val="32"/>
          <w:lang w:val="en-US" w:eastAsia="zh-CN" w:bidi="ar"/>
        </w:rPr>
      </w:pPr>
    </w:p>
    <w:p w14:paraId="13F35E59">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color w:val="auto"/>
          <w:kern w:val="0"/>
          <w:sz w:val="32"/>
          <w:szCs w:val="32"/>
          <w:lang w:val="en-US" w:eastAsia="zh-CN" w:bidi="ar"/>
        </w:rPr>
      </w:pPr>
    </w:p>
    <w:p w14:paraId="3D990407">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color w:val="auto"/>
          <w:kern w:val="0"/>
          <w:sz w:val="32"/>
          <w:szCs w:val="32"/>
          <w:lang w:val="en-US" w:eastAsia="zh-CN" w:bidi="ar"/>
        </w:rPr>
      </w:pPr>
    </w:p>
    <w:p w14:paraId="53C90379">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color w:val="auto"/>
          <w:kern w:val="0"/>
          <w:sz w:val="32"/>
          <w:szCs w:val="32"/>
          <w:lang w:val="en-US" w:eastAsia="zh-CN" w:bidi="ar"/>
        </w:rPr>
      </w:pPr>
    </w:p>
    <w:p w14:paraId="1F1429C5">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color w:val="auto"/>
          <w:kern w:val="0"/>
          <w:sz w:val="32"/>
          <w:szCs w:val="32"/>
          <w:lang w:val="en-US" w:eastAsia="zh-CN" w:bidi="ar"/>
        </w:rPr>
      </w:pPr>
    </w:p>
    <w:p w14:paraId="5E8D5B1D">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color w:val="auto"/>
          <w:kern w:val="0"/>
          <w:sz w:val="32"/>
          <w:szCs w:val="32"/>
          <w:lang w:val="en-US" w:eastAsia="zh-CN" w:bidi="ar"/>
        </w:rPr>
      </w:pPr>
    </w:p>
    <w:p w14:paraId="1C2ED171">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color w:val="auto"/>
          <w:kern w:val="0"/>
          <w:sz w:val="32"/>
          <w:szCs w:val="32"/>
          <w:lang w:val="en-US" w:eastAsia="zh-CN" w:bidi="ar"/>
        </w:rPr>
      </w:pPr>
    </w:p>
    <w:p w14:paraId="1CA9CB22">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color w:val="auto"/>
          <w:kern w:val="0"/>
          <w:sz w:val="32"/>
          <w:szCs w:val="32"/>
          <w:lang w:val="en-US" w:eastAsia="zh-CN" w:bidi="ar"/>
        </w:rPr>
      </w:pPr>
    </w:p>
    <w:p w14:paraId="2C61D55B">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color w:val="auto"/>
          <w:kern w:val="0"/>
          <w:sz w:val="32"/>
          <w:szCs w:val="32"/>
          <w:lang w:val="en-US" w:eastAsia="zh-CN" w:bidi="ar"/>
        </w:rPr>
      </w:pPr>
    </w:p>
    <w:p w14:paraId="59FC6736">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color w:val="auto"/>
          <w:kern w:val="0"/>
          <w:sz w:val="32"/>
          <w:szCs w:val="32"/>
          <w:lang w:val="en-US" w:eastAsia="zh-CN" w:bidi="ar"/>
        </w:rPr>
      </w:pPr>
    </w:p>
    <w:p w14:paraId="0F9EAB22">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附件1</w:t>
      </w:r>
    </w:p>
    <w:p w14:paraId="6ACC93A0">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方正小标宋简体" w:hAnsi="方正小标宋简体" w:eastAsia="方正小标宋简体" w:cs="方正小标宋简体"/>
          <w:color w:val="auto"/>
          <w:kern w:val="0"/>
          <w:sz w:val="44"/>
          <w:szCs w:val="44"/>
          <w:lang w:val="en-US" w:eastAsia="zh-CN" w:bidi="ar"/>
        </w:rPr>
      </w:pPr>
      <w:r>
        <w:rPr>
          <w:rFonts w:hint="eastAsia" w:ascii="方正小标宋简体" w:hAnsi="方正小标宋简体" w:eastAsia="方正小标宋简体" w:cs="方正小标宋简体"/>
          <w:color w:val="auto"/>
          <w:kern w:val="0"/>
          <w:sz w:val="44"/>
          <w:szCs w:val="44"/>
          <w:lang w:val="en-US" w:eastAsia="zh-CN" w:bidi="ar"/>
        </w:rPr>
        <w:t>肃南县突发事件遇难人员遗体处置指挥部</w:t>
      </w:r>
    </w:p>
    <w:p w14:paraId="4FA71A02">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eastAsia" w:ascii="方正小标宋简体" w:hAnsi="方正小标宋简体" w:eastAsia="方正小标宋简体" w:cs="方正小标宋简体"/>
          <w:color w:val="auto"/>
          <w:kern w:val="0"/>
          <w:sz w:val="44"/>
          <w:szCs w:val="44"/>
          <w:lang w:val="en-US" w:eastAsia="zh-CN" w:bidi="ar"/>
        </w:rPr>
      </w:pPr>
      <w:r>
        <w:rPr>
          <w:rFonts w:hint="eastAsia" w:ascii="方正小标宋简体" w:hAnsi="方正小标宋简体" w:eastAsia="方正小标宋简体" w:cs="方正小标宋简体"/>
          <w:color w:val="auto"/>
          <w:kern w:val="0"/>
          <w:sz w:val="44"/>
          <w:szCs w:val="44"/>
          <w:lang w:val="en-US" w:eastAsia="zh-CN" w:bidi="ar"/>
        </w:rPr>
        <w:t>成员名单</w:t>
      </w:r>
    </w:p>
    <w:p w14:paraId="2F1744A0">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color w:val="auto"/>
          <w:kern w:val="0"/>
          <w:sz w:val="32"/>
          <w:szCs w:val="32"/>
          <w:lang w:val="en-US" w:eastAsia="zh-CN" w:bidi="ar"/>
        </w:rPr>
      </w:pPr>
    </w:p>
    <w:p w14:paraId="08D8894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黑体" w:hAnsi="黑体" w:eastAsia="黑体" w:cs="黑体"/>
          <w:color w:val="auto"/>
          <w:kern w:val="0"/>
          <w:sz w:val="32"/>
          <w:szCs w:val="32"/>
          <w:lang w:val="en-US" w:eastAsia="zh-CN" w:bidi="ar"/>
        </w:rPr>
        <w:t>一、遗体处置指挥部</w:t>
      </w:r>
    </w:p>
    <w:p w14:paraId="2A6A257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总 指 挥：（分管民政工作副县长）</w:t>
      </w:r>
    </w:p>
    <w:p w14:paraId="2F62BCF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副总指挥：（县政府办公室主任）</w:t>
      </w:r>
    </w:p>
    <w:p w14:paraId="0B0D5AC8">
      <w:pPr>
        <w:keepNext w:val="0"/>
        <w:keepLines w:val="0"/>
        <w:pageBreakBefore w:val="0"/>
        <w:widowControl w:val="0"/>
        <w:kinsoku/>
        <w:wordWrap/>
        <w:overflowPunct/>
        <w:topLinePunct w:val="0"/>
        <w:autoSpaceDE/>
        <w:autoSpaceDN/>
        <w:bidi w:val="0"/>
        <w:adjustRightInd/>
        <w:snapToGrid/>
        <w:spacing w:line="560" w:lineRule="exact"/>
        <w:ind w:left="0" w:leftChars="0" w:firstLine="2240" w:firstLineChars="7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（县民政局局长）</w:t>
      </w:r>
    </w:p>
    <w:p w14:paraId="0306824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成    员：县委宣传部、县公安局、县卫生健康局、县应急管理局、县住建局、县财政局、县民宗局及各乡（镇）人民政府负责同志</w:t>
      </w:r>
    </w:p>
    <w:p w14:paraId="31162A9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二、指挥部办公室</w:t>
      </w:r>
    </w:p>
    <w:p w14:paraId="618FC0F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主　任：县民政局局长</w:t>
      </w:r>
    </w:p>
    <w:p w14:paraId="697CFDFD">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成　员：县委宣传部、县公安局、县卫生健康局、县应急管理局、县住建局、县财政局、县民宗局及各乡（镇）相关负责同志</w:t>
      </w:r>
    </w:p>
    <w:p w14:paraId="64C008B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黑体" w:hAnsi="黑体" w:eastAsia="黑体" w:cs="黑体"/>
          <w:color w:val="auto"/>
          <w:kern w:val="0"/>
          <w:sz w:val="32"/>
          <w:szCs w:val="32"/>
          <w:lang w:val="en-US" w:eastAsia="zh-CN" w:bidi="ar"/>
        </w:rPr>
      </w:pPr>
      <w:r>
        <w:rPr>
          <w:rFonts w:hint="eastAsia" w:ascii="黑体" w:hAnsi="黑体" w:eastAsia="黑体" w:cs="黑体"/>
          <w:color w:val="auto"/>
          <w:kern w:val="0"/>
          <w:sz w:val="32"/>
          <w:szCs w:val="32"/>
          <w:lang w:val="en-US" w:eastAsia="zh-CN" w:bidi="ar"/>
        </w:rPr>
        <w:t>三、县殡葬服务中心应急处置组</w:t>
      </w:r>
    </w:p>
    <w:p w14:paraId="0A04F3A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组　长：（殡葬服务中心负责人）</w:t>
      </w:r>
    </w:p>
    <w:p w14:paraId="5E2EFCB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成　员：殡葬服务中心全体工作人员（共7名：殡仪馆2名、火葬场及喇嘛坪公墓2名、局机关3名）</w:t>
      </w:r>
    </w:p>
    <w:p w14:paraId="0BE298C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p>
    <w:p w14:paraId="14B2778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p>
    <w:p w14:paraId="2A938D6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p>
    <w:p w14:paraId="0435859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附件2</w:t>
      </w:r>
    </w:p>
    <w:p w14:paraId="59DE320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kern w:val="0"/>
          <w:sz w:val="44"/>
          <w:szCs w:val="44"/>
          <w:lang w:val="en-US" w:eastAsia="zh-CN" w:bidi="ar"/>
        </w:rPr>
      </w:pPr>
      <w:r>
        <w:rPr>
          <w:rFonts w:hint="eastAsia" w:ascii="方正小标宋简体" w:hAnsi="方正小标宋简体" w:eastAsia="方正小标宋简体" w:cs="方正小标宋简体"/>
          <w:color w:val="auto"/>
          <w:kern w:val="0"/>
          <w:sz w:val="44"/>
          <w:szCs w:val="44"/>
          <w:lang w:val="en-US" w:eastAsia="zh-CN" w:bidi="ar"/>
        </w:rPr>
        <w:t>肃南县遗体处置分区协作一览表</w:t>
      </w:r>
    </w:p>
    <w:p w14:paraId="0D657DC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kern w:val="0"/>
          <w:sz w:val="44"/>
          <w:szCs w:val="44"/>
          <w:lang w:val="en-US" w:eastAsia="zh-CN" w:bidi="ar"/>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3"/>
        <w:gridCol w:w="1701"/>
        <w:gridCol w:w="1882"/>
        <w:gridCol w:w="2478"/>
        <w:gridCol w:w="1404"/>
      </w:tblGrid>
      <w:tr w14:paraId="00CBC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4" w:type="dxa"/>
            <w:vAlign w:val="center"/>
          </w:tcPr>
          <w:p w14:paraId="180BD5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color w:val="auto"/>
                <w:kern w:val="0"/>
                <w:sz w:val="24"/>
                <w:szCs w:val="24"/>
                <w:vertAlign w:val="baseline"/>
                <w:lang w:val="en-US" w:eastAsia="zh-CN" w:bidi="ar"/>
              </w:rPr>
            </w:pPr>
            <w:bookmarkStart w:id="1" w:name="OLE_LINK3" w:colFirst="0" w:colLast="4"/>
            <w:r>
              <w:rPr>
                <w:rFonts w:hint="eastAsia" w:ascii="仿宋_GB2312" w:hAnsi="仿宋_GB2312" w:eastAsia="仿宋_GB2312" w:cs="仿宋_GB2312"/>
                <w:b/>
                <w:bCs/>
                <w:color w:val="auto"/>
                <w:kern w:val="0"/>
                <w:sz w:val="24"/>
                <w:szCs w:val="24"/>
                <w:lang w:val="en-US" w:eastAsia="zh-CN" w:bidi="ar"/>
              </w:rPr>
              <w:t>处置片区</w:t>
            </w:r>
          </w:p>
        </w:tc>
        <w:tc>
          <w:tcPr>
            <w:tcW w:w="1701" w:type="dxa"/>
            <w:vAlign w:val="center"/>
          </w:tcPr>
          <w:p w14:paraId="66ED51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color w:val="auto"/>
                <w:kern w:val="0"/>
                <w:sz w:val="24"/>
                <w:szCs w:val="24"/>
                <w:vertAlign w:val="baseline"/>
                <w:lang w:val="en-US" w:eastAsia="zh-CN" w:bidi="ar"/>
              </w:rPr>
            </w:pPr>
            <w:r>
              <w:rPr>
                <w:rFonts w:hint="eastAsia" w:ascii="仿宋_GB2312" w:hAnsi="仿宋_GB2312" w:eastAsia="仿宋_GB2312" w:cs="仿宋_GB2312"/>
                <w:b/>
                <w:bCs/>
                <w:color w:val="auto"/>
                <w:kern w:val="0"/>
                <w:sz w:val="24"/>
                <w:szCs w:val="24"/>
                <w:lang w:val="en-US" w:eastAsia="zh-CN" w:bidi="ar"/>
              </w:rPr>
              <w:t>涉及乡镇</w:t>
            </w:r>
          </w:p>
        </w:tc>
        <w:tc>
          <w:tcPr>
            <w:tcW w:w="0" w:type="auto"/>
            <w:vAlign w:val="center"/>
          </w:tcPr>
          <w:p w14:paraId="128E71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color w:val="auto"/>
                <w:kern w:val="0"/>
                <w:sz w:val="24"/>
                <w:szCs w:val="24"/>
                <w:vertAlign w:val="baseline"/>
                <w:lang w:val="en-US" w:eastAsia="zh-CN" w:bidi="ar"/>
              </w:rPr>
            </w:pPr>
            <w:r>
              <w:rPr>
                <w:rFonts w:hint="eastAsia" w:ascii="仿宋_GB2312" w:hAnsi="仿宋_GB2312" w:eastAsia="仿宋_GB2312" w:cs="仿宋_GB2312"/>
                <w:b/>
                <w:bCs/>
                <w:color w:val="auto"/>
                <w:kern w:val="0"/>
                <w:sz w:val="24"/>
                <w:szCs w:val="24"/>
                <w:lang w:val="en-US" w:eastAsia="zh-CN" w:bidi="ar"/>
              </w:rPr>
              <w:t>距县城距离（约）</w:t>
            </w:r>
          </w:p>
        </w:tc>
        <w:tc>
          <w:tcPr>
            <w:tcW w:w="0" w:type="auto"/>
            <w:vAlign w:val="center"/>
          </w:tcPr>
          <w:p w14:paraId="727F04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color w:val="auto"/>
                <w:kern w:val="0"/>
                <w:sz w:val="24"/>
                <w:szCs w:val="24"/>
                <w:vertAlign w:val="baseline"/>
                <w:lang w:val="en-US" w:eastAsia="zh-CN" w:bidi="ar"/>
              </w:rPr>
            </w:pPr>
            <w:r>
              <w:rPr>
                <w:rFonts w:hint="eastAsia" w:ascii="仿宋_GB2312" w:hAnsi="仿宋_GB2312" w:eastAsia="仿宋_GB2312" w:cs="仿宋_GB2312"/>
                <w:b/>
                <w:bCs/>
                <w:color w:val="auto"/>
                <w:kern w:val="0"/>
                <w:sz w:val="24"/>
                <w:szCs w:val="24"/>
                <w:lang w:val="en-US" w:eastAsia="zh-CN" w:bidi="ar"/>
              </w:rPr>
              <w:t>协作处置机构</w:t>
            </w:r>
          </w:p>
        </w:tc>
        <w:tc>
          <w:tcPr>
            <w:tcW w:w="0" w:type="auto"/>
            <w:vAlign w:val="center"/>
          </w:tcPr>
          <w:p w14:paraId="502520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color w:val="auto"/>
                <w:kern w:val="0"/>
                <w:sz w:val="24"/>
                <w:szCs w:val="24"/>
                <w:vertAlign w:val="baseline"/>
                <w:lang w:val="en-US" w:eastAsia="zh-CN" w:bidi="ar"/>
              </w:rPr>
            </w:pPr>
            <w:r>
              <w:rPr>
                <w:rFonts w:hint="eastAsia" w:ascii="仿宋_GB2312" w:hAnsi="仿宋_GB2312" w:eastAsia="仿宋_GB2312" w:cs="仿宋_GB2312"/>
                <w:b/>
                <w:bCs/>
                <w:color w:val="auto"/>
                <w:kern w:val="0"/>
                <w:sz w:val="24"/>
                <w:szCs w:val="24"/>
                <w:lang w:val="en-US" w:eastAsia="zh-CN" w:bidi="ar"/>
              </w:rPr>
              <w:t>备注</w:t>
            </w:r>
          </w:p>
        </w:tc>
      </w:tr>
      <w:bookmarkEnd w:id="1"/>
      <w:tr w14:paraId="224C4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1484" w:type="dxa"/>
            <w:vAlign w:val="center"/>
          </w:tcPr>
          <w:p w14:paraId="604034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核心处置区</w:t>
            </w:r>
          </w:p>
        </w:tc>
        <w:tc>
          <w:tcPr>
            <w:tcW w:w="1701" w:type="dxa"/>
            <w:vAlign w:val="center"/>
          </w:tcPr>
          <w:p w14:paraId="3FB3D1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大河乡、康乐镇、白银乡</w:t>
            </w:r>
          </w:p>
        </w:tc>
        <w:tc>
          <w:tcPr>
            <w:tcW w:w="0" w:type="auto"/>
            <w:vAlign w:val="center"/>
          </w:tcPr>
          <w:p w14:paraId="759132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县城周边</w:t>
            </w:r>
          </w:p>
        </w:tc>
        <w:tc>
          <w:tcPr>
            <w:tcW w:w="0" w:type="auto"/>
            <w:vAlign w:val="center"/>
          </w:tcPr>
          <w:p w14:paraId="1DC8D8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县殡葬服务中心（殡仪馆）</w:t>
            </w:r>
          </w:p>
        </w:tc>
        <w:tc>
          <w:tcPr>
            <w:tcW w:w="0" w:type="auto"/>
            <w:vAlign w:val="center"/>
          </w:tcPr>
          <w:p w14:paraId="065FD3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直接处置</w:t>
            </w:r>
          </w:p>
        </w:tc>
      </w:tr>
      <w:tr w14:paraId="3C70E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484" w:type="dxa"/>
            <w:vAlign w:val="center"/>
          </w:tcPr>
          <w:p w14:paraId="24D011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就近协作区</w:t>
            </w:r>
          </w:p>
        </w:tc>
        <w:tc>
          <w:tcPr>
            <w:tcW w:w="1701" w:type="dxa"/>
            <w:vAlign w:val="center"/>
          </w:tcPr>
          <w:p w14:paraId="103890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祁丰藏族乡</w:t>
            </w:r>
          </w:p>
        </w:tc>
        <w:tc>
          <w:tcPr>
            <w:tcW w:w="0" w:type="auto"/>
            <w:vAlign w:val="center"/>
          </w:tcPr>
          <w:p w14:paraId="23AEF8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约312公里（行车）</w:t>
            </w:r>
          </w:p>
        </w:tc>
        <w:tc>
          <w:tcPr>
            <w:tcW w:w="0" w:type="auto"/>
            <w:vAlign w:val="center"/>
          </w:tcPr>
          <w:p w14:paraId="192C3B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嘉峪关市/肃州区殡仪服务机构</w:t>
            </w:r>
          </w:p>
        </w:tc>
        <w:tc>
          <w:tcPr>
            <w:tcW w:w="0" w:type="auto"/>
            <w:vAlign w:val="center"/>
          </w:tcPr>
          <w:p w14:paraId="6BB01B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需签订协作协议</w:t>
            </w:r>
          </w:p>
        </w:tc>
      </w:tr>
      <w:tr w14:paraId="079BD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1484" w:type="dxa"/>
            <w:vAlign w:val="center"/>
          </w:tcPr>
          <w:p w14:paraId="407557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就近协作区</w:t>
            </w:r>
          </w:p>
        </w:tc>
        <w:tc>
          <w:tcPr>
            <w:tcW w:w="1701" w:type="dxa"/>
            <w:vAlign w:val="center"/>
          </w:tcPr>
          <w:p w14:paraId="094CD6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马蹄藏族乡</w:t>
            </w:r>
          </w:p>
        </w:tc>
        <w:tc>
          <w:tcPr>
            <w:tcW w:w="0" w:type="auto"/>
            <w:vAlign w:val="center"/>
          </w:tcPr>
          <w:p w14:paraId="5E54E5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约165公里</w:t>
            </w:r>
          </w:p>
        </w:tc>
        <w:tc>
          <w:tcPr>
            <w:tcW w:w="0" w:type="auto"/>
            <w:vAlign w:val="center"/>
          </w:tcPr>
          <w:p w14:paraId="436B14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甘州区/民乐县殡仪服务机构</w:t>
            </w:r>
          </w:p>
        </w:tc>
        <w:tc>
          <w:tcPr>
            <w:tcW w:w="0" w:type="auto"/>
            <w:vAlign w:val="center"/>
          </w:tcPr>
          <w:p w14:paraId="00966F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需签订协作协议</w:t>
            </w:r>
          </w:p>
        </w:tc>
      </w:tr>
      <w:tr w14:paraId="07198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484" w:type="dxa"/>
            <w:vAlign w:val="center"/>
          </w:tcPr>
          <w:p w14:paraId="56E8DD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就近协作区</w:t>
            </w:r>
          </w:p>
        </w:tc>
        <w:tc>
          <w:tcPr>
            <w:tcW w:w="1701" w:type="dxa"/>
            <w:vAlign w:val="center"/>
          </w:tcPr>
          <w:p w14:paraId="3B89B2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明花镇</w:t>
            </w:r>
          </w:p>
        </w:tc>
        <w:tc>
          <w:tcPr>
            <w:tcW w:w="0" w:type="auto"/>
            <w:vAlign w:val="center"/>
          </w:tcPr>
          <w:p w14:paraId="10C236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约80公里</w:t>
            </w:r>
          </w:p>
        </w:tc>
        <w:tc>
          <w:tcPr>
            <w:tcW w:w="0" w:type="auto"/>
            <w:vAlign w:val="center"/>
          </w:tcPr>
          <w:p w14:paraId="5A9A312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待定（视协作协议签订情况）</w:t>
            </w:r>
          </w:p>
        </w:tc>
        <w:tc>
          <w:tcPr>
            <w:tcW w:w="0" w:type="auto"/>
            <w:vAlign w:val="center"/>
          </w:tcPr>
          <w:p w14:paraId="2DB355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需确定协作机构</w:t>
            </w:r>
          </w:p>
        </w:tc>
      </w:tr>
      <w:tr w14:paraId="19BA1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1484" w:type="dxa"/>
            <w:vAlign w:val="center"/>
          </w:tcPr>
          <w:p w14:paraId="4A07E6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飞地协作区</w:t>
            </w:r>
          </w:p>
        </w:tc>
        <w:tc>
          <w:tcPr>
            <w:tcW w:w="1701" w:type="dxa"/>
            <w:vAlign w:val="center"/>
          </w:tcPr>
          <w:p w14:paraId="7429384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皇城镇</w:t>
            </w:r>
          </w:p>
        </w:tc>
        <w:tc>
          <w:tcPr>
            <w:tcW w:w="0" w:type="auto"/>
            <w:vAlign w:val="center"/>
          </w:tcPr>
          <w:p w14:paraId="27C1F0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约325公里</w:t>
            </w:r>
          </w:p>
        </w:tc>
        <w:tc>
          <w:tcPr>
            <w:tcW w:w="0" w:type="auto"/>
            <w:vAlign w:val="center"/>
          </w:tcPr>
          <w:p w14:paraId="26FF9B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永昌县/凉州区殡仪服务机构</w:t>
            </w:r>
          </w:p>
        </w:tc>
        <w:tc>
          <w:tcPr>
            <w:tcW w:w="0" w:type="auto"/>
            <w:vAlign w:val="center"/>
          </w:tcPr>
          <w:p w14:paraId="6DD470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需签订协作协议</w:t>
            </w:r>
          </w:p>
        </w:tc>
      </w:tr>
    </w:tbl>
    <w:p w14:paraId="625A95B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p>
    <w:p w14:paraId="7DAA8DB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p>
    <w:p w14:paraId="457AC7C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p>
    <w:p w14:paraId="6312870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p>
    <w:p w14:paraId="00727CD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p>
    <w:p w14:paraId="016B87E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p>
    <w:p w14:paraId="13D71D7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p>
    <w:p w14:paraId="398E3A3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附件3</w:t>
      </w:r>
    </w:p>
    <w:p w14:paraId="130F07E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kern w:val="0"/>
          <w:sz w:val="44"/>
          <w:szCs w:val="44"/>
          <w:lang w:val="en-US" w:eastAsia="zh-CN" w:bidi="ar"/>
        </w:rPr>
      </w:pPr>
      <w:r>
        <w:rPr>
          <w:rFonts w:hint="eastAsia" w:ascii="方正小标宋简体" w:hAnsi="方正小标宋简体" w:eastAsia="方正小标宋简体" w:cs="方正小标宋简体"/>
          <w:color w:val="auto"/>
          <w:kern w:val="0"/>
          <w:sz w:val="44"/>
          <w:szCs w:val="44"/>
          <w:lang w:val="en-US" w:eastAsia="zh-CN" w:bidi="ar"/>
        </w:rPr>
        <w:t>跨区域遗体处置应急协作通讯录</w:t>
      </w:r>
    </w:p>
    <w:p w14:paraId="4CB1BC2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kern w:val="0"/>
          <w:sz w:val="44"/>
          <w:szCs w:val="44"/>
          <w:lang w:val="en-US" w:eastAsia="zh-CN" w:bidi="ar"/>
        </w:rPr>
      </w:pP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9"/>
        <w:gridCol w:w="1339"/>
        <w:gridCol w:w="1629"/>
        <w:gridCol w:w="1382"/>
        <w:gridCol w:w="1619"/>
        <w:gridCol w:w="1130"/>
      </w:tblGrid>
      <w:tr w14:paraId="79181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3" w:type="pct"/>
            <w:vAlign w:val="center"/>
          </w:tcPr>
          <w:p w14:paraId="78CB33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color w:val="auto"/>
                <w:kern w:val="0"/>
                <w:sz w:val="24"/>
                <w:szCs w:val="24"/>
                <w:vertAlign w:val="baseline"/>
                <w:lang w:val="en-US" w:eastAsia="zh-CN" w:bidi="ar"/>
              </w:rPr>
            </w:pPr>
            <w:r>
              <w:rPr>
                <w:rFonts w:hint="eastAsia" w:ascii="仿宋_GB2312" w:hAnsi="仿宋_GB2312" w:eastAsia="仿宋_GB2312" w:cs="仿宋_GB2312"/>
                <w:b/>
                <w:bCs/>
                <w:color w:val="auto"/>
                <w:kern w:val="0"/>
                <w:sz w:val="24"/>
                <w:szCs w:val="24"/>
                <w:lang w:val="en-US" w:eastAsia="zh-CN" w:bidi="ar"/>
              </w:rPr>
              <w:t>协作单位</w:t>
            </w:r>
          </w:p>
        </w:tc>
        <w:tc>
          <w:tcPr>
            <w:tcW w:w="748" w:type="pct"/>
            <w:vAlign w:val="center"/>
          </w:tcPr>
          <w:p w14:paraId="4FD2D5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color w:val="auto"/>
                <w:kern w:val="0"/>
                <w:sz w:val="24"/>
                <w:szCs w:val="24"/>
                <w:vertAlign w:val="baseline"/>
                <w:lang w:val="en-US" w:eastAsia="zh-CN" w:bidi="ar"/>
              </w:rPr>
            </w:pPr>
            <w:r>
              <w:rPr>
                <w:rFonts w:hint="eastAsia" w:ascii="仿宋_GB2312" w:hAnsi="仿宋_GB2312" w:eastAsia="仿宋_GB2312" w:cs="仿宋_GB2312"/>
                <w:b/>
                <w:bCs/>
                <w:color w:val="auto"/>
                <w:kern w:val="0"/>
                <w:sz w:val="24"/>
                <w:szCs w:val="24"/>
                <w:lang w:val="en-US" w:eastAsia="zh-CN" w:bidi="ar"/>
              </w:rPr>
              <w:t>协作区域</w:t>
            </w:r>
          </w:p>
        </w:tc>
        <w:tc>
          <w:tcPr>
            <w:tcW w:w="910" w:type="pct"/>
            <w:vAlign w:val="center"/>
          </w:tcPr>
          <w:p w14:paraId="76D28B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color w:val="auto"/>
                <w:kern w:val="0"/>
                <w:sz w:val="24"/>
                <w:szCs w:val="24"/>
                <w:vertAlign w:val="baseline"/>
                <w:lang w:val="en-US" w:eastAsia="zh-CN" w:bidi="ar"/>
              </w:rPr>
            </w:pPr>
            <w:r>
              <w:rPr>
                <w:rFonts w:hint="eastAsia" w:ascii="仿宋_GB2312" w:hAnsi="仿宋_GB2312" w:eastAsia="仿宋_GB2312" w:cs="仿宋_GB2312"/>
                <w:b/>
                <w:bCs/>
                <w:color w:val="auto"/>
                <w:kern w:val="0"/>
                <w:sz w:val="24"/>
                <w:szCs w:val="24"/>
                <w:lang w:val="en-US" w:eastAsia="zh-CN" w:bidi="ar"/>
              </w:rPr>
              <w:t>24小时联络电话</w:t>
            </w:r>
          </w:p>
        </w:tc>
        <w:tc>
          <w:tcPr>
            <w:tcW w:w="772" w:type="pct"/>
            <w:vAlign w:val="center"/>
          </w:tcPr>
          <w:p w14:paraId="612FA6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color w:val="auto"/>
                <w:kern w:val="0"/>
                <w:sz w:val="24"/>
                <w:szCs w:val="24"/>
                <w:vertAlign w:val="baseline"/>
                <w:lang w:val="en-US" w:eastAsia="zh-CN" w:bidi="ar"/>
              </w:rPr>
            </w:pPr>
            <w:r>
              <w:rPr>
                <w:rFonts w:hint="eastAsia" w:ascii="仿宋_GB2312" w:hAnsi="仿宋_GB2312" w:eastAsia="仿宋_GB2312" w:cs="仿宋_GB2312"/>
                <w:b/>
                <w:bCs/>
                <w:color w:val="auto"/>
                <w:kern w:val="0"/>
                <w:sz w:val="24"/>
                <w:szCs w:val="24"/>
                <w:lang w:val="en-US" w:eastAsia="zh-CN" w:bidi="ar"/>
              </w:rPr>
              <w:t>分管领导</w:t>
            </w:r>
          </w:p>
        </w:tc>
        <w:tc>
          <w:tcPr>
            <w:tcW w:w="904" w:type="pct"/>
            <w:vAlign w:val="center"/>
          </w:tcPr>
          <w:p w14:paraId="33FD66A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color w:val="auto"/>
                <w:kern w:val="0"/>
                <w:sz w:val="24"/>
                <w:szCs w:val="24"/>
                <w:vertAlign w:val="baseline"/>
                <w:lang w:val="en-US" w:eastAsia="zh-CN" w:bidi="ar"/>
              </w:rPr>
            </w:pPr>
            <w:r>
              <w:rPr>
                <w:rFonts w:hint="eastAsia" w:ascii="仿宋_GB2312" w:hAnsi="仿宋_GB2312" w:eastAsia="仿宋_GB2312" w:cs="仿宋_GB2312"/>
                <w:b/>
                <w:bCs/>
                <w:color w:val="auto"/>
                <w:kern w:val="0"/>
                <w:sz w:val="24"/>
                <w:szCs w:val="24"/>
                <w:lang w:val="en-US" w:eastAsia="zh-CN" w:bidi="ar"/>
              </w:rPr>
              <w:t>业务联系人</w:t>
            </w:r>
          </w:p>
        </w:tc>
        <w:tc>
          <w:tcPr>
            <w:tcW w:w="631" w:type="pct"/>
            <w:vAlign w:val="center"/>
          </w:tcPr>
          <w:p w14:paraId="190DDB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color w:val="auto"/>
                <w:kern w:val="0"/>
                <w:sz w:val="24"/>
                <w:szCs w:val="24"/>
                <w:vertAlign w:val="baseline"/>
                <w:lang w:val="en-US" w:eastAsia="zh-CN" w:bidi="ar"/>
              </w:rPr>
            </w:pPr>
            <w:r>
              <w:rPr>
                <w:rFonts w:hint="eastAsia" w:ascii="仿宋_GB2312" w:hAnsi="仿宋_GB2312" w:eastAsia="仿宋_GB2312" w:cs="仿宋_GB2312"/>
                <w:b/>
                <w:bCs/>
                <w:color w:val="auto"/>
                <w:kern w:val="0"/>
                <w:sz w:val="24"/>
                <w:szCs w:val="24"/>
                <w:lang w:val="en-US" w:eastAsia="zh-CN" w:bidi="ar"/>
              </w:rPr>
              <w:t>备注</w:t>
            </w:r>
          </w:p>
        </w:tc>
      </w:tr>
      <w:tr w14:paraId="1D4CE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3" w:type="pct"/>
            <w:vAlign w:val="center"/>
          </w:tcPr>
          <w:p w14:paraId="795545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 xml:space="preserve">嘉峪关市殡仪馆 </w:t>
            </w:r>
          </w:p>
        </w:tc>
        <w:tc>
          <w:tcPr>
            <w:tcW w:w="748" w:type="pct"/>
            <w:vAlign w:val="center"/>
          </w:tcPr>
          <w:p w14:paraId="6AFE59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祁丰藏族乡</w:t>
            </w:r>
          </w:p>
        </w:tc>
        <w:tc>
          <w:tcPr>
            <w:tcW w:w="910" w:type="pct"/>
            <w:vAlign w:val="center"/>
          </w:tcPr>
          <w:p w14:paraId="27CB82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vertAlign w:val="baseline"/>
                <w:lang w:val="en-US" w:eastAsia="zh-CN" w:bidi="ar"/>
              </w:rPr>
              <w:t>18993633920</w:t>
            </w:r>
          </w:p>
        </w:tc>
        <w:tc>
          <w:tcPr>
            <w:tcW w:w="772" w:type="pct"/>
            <w:vAlign w:val="center"/>
          </w:tcPr>
          <w:p w14:paraId="4CACB0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vertAlign w:val="baseline"/>
                <w:lang w:val="en-US" w:eastAsia="zh-CN" w:bidi="ar"/>
              </w:rPr>
              <w:t>郝进鹏</w:t>
            </w:r>
          </w:p>
        </w:tc>
        <w:tc>
          <w:tcPr>
            <w:tcW w:w="904" w:type="pct"/>
            <w:vAlign w:val="center"/>
          </w:tcPr>
          <w:p w14:paraId="391D7D1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vertAlign w:val="baseline"/>
                <w:lang w:val="en-US" w:eastAsia="zh-CN" w:bidi="ar"/>
              </w:rPr>
              <w:t>索进雷</w:t>
            </w:r>
          </w:p>
        </w:tc>
        <w:tc>
          <w:tcPr>
            <w:tcW w:w="631" w:type="pct"/>
            <w:vAlign w:val="center"/>
          </w:tcPr>
          <w:p w14:paraId="5CC996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p>
        </w:tc>
      </w:tr>
      <w:tr w14:paraId="12D90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3" w:type="pct"/>
            <w:vAlign w:val="center"/>
          </w:tcPr>
          <w:p w14:paraId="576915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 xml:space="preserve">肃州区殡仪馆 </w:t>
            </w:r>
          </w:p>
        </w:tc>
        <w:tc>
          <w:tcPr>
            <w:tcW w:w="748" w:type="pct"/>
            <w:vAlign w:val="center"/>
          </w:tcPr>
          <w:p w14:paraId="4BA472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祁丰藏族乡</w:t>
            </w:r>
          </w:p>
        </w:tc>
        <w:tc>
          <w:tcPr>
            <w:tcW w:w="1629" w:type="dxa"/>
            <w:vAlign w:val="center"/>
          </w:tcPr>
          <w:p w14:paraId="4E3E58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vertAlign w:val="baseline"/>
                <w:lang w:val="en-US" w:eastAsia="zh-CN" w:bidi="ar"/>
              </w:rPr>
              <w:t>18993633920</w:t>
            </w:r>
          </w:p>
        </w:tc>
        <w:tc>
          <w:tcPr>
            <w:tcW w:w="1382" w:type="dxa"/>
            <w:vAlign w:val="center"/>
          </w:tcPr>
          <w:p w14:paraId="6D8985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vertAlign w:val="baseline"/>
                <w:lang w:val="en-US" w:eastAsia="zh-CN" w:bidi="ar"/>
              </w:rPr>
              <w:t>郝进鹏</w:t>
            </w:r>
          </w:p>
        </w:tc>
        <w:tc>
          <w:tcPr>
            <w:tcW w:w="1619" w:type="dxa"/>
            <w:vAlign w:val="center"/>
          </w:tcPr>
          <w:p w14:paraId="72C5EF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vertAlign w:val="baseline"/>
                <w:lang w:val="en-US" w:eastAsia="zh-CN" w:bidi="ar"/>
              </w:rPr>
              <w:t>索进雷</w:t>
            </w:r>
          </w:p>
        </w:tc>
        <w:tc>
          <w:tcPr>
            <w:tcW w:w="631" w:type="pct"/>
            <w:vAlign w:val="center"/>
          </w:tcPr>
          <w:p w14:paraId="1A55B0B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p>
        </w:tc>
      </w:tr>
      <w:tr w14:paraId="43E50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3" w:type="pct"/>
            <w:vAlign w:val="center"/>
          </w:tcPr>
          <w:p w14:paraId="3BD782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 xml:space="preserve"> 甘州区殡仪馆</w:t>
            </w:r>
          </w:p>
        </w:tc>
        <w:tc>
          <w:tcPr>
            <w:tcW w:w="748" w:type="pct"/>
            <w:vAlign w:val="center"/>
          </w:tcPr>
          <w:p w14:paraId="2AE9E3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马蹄藏族乡</w:t>
            </w:r>
          </w:p>
        </w:tc>
        <w:tc>
          <w:tcPr>
            <w:tcW w:w="910" w:type="pct"/>
            <w:vAlign w:val="center"/>
          </w:tcPr>
          <w:p w14:paraId="7A771F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vertAlign w:val="baseline"/>
                <w:lang w:val="en-US" w:eastAsia="zh-CN" w:bidi="ar"/>
              </w:rPr>
              <w:t>18794843861</w:t>
            </w:r>
          </w:p>
        </w:tc>
        <w:tc>
          <w:tcPr>
            <w:tcW w:w="772" w:type="pct"/>
            <w:vAlign w:val="center"/>
          </w:tcPr>
          <w:p w14:paraId="6BD917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vertAlign w:val="baseline"/>
                <w:lang w:val="en-US" w:eastAsia="zh-CN" w:bidi="ar"/>
              </w:rPr>
              <w:t>韩世栩</w:t>
            </w:r>
          </w:p>
        </w:tc>
        <w:tc>
          <w:tcPr>
            <w:tcW w:w="904" w:type="pct"/>
            <w:vAlign w:val="center"/>
          </w:tcPr>
          <w:p w14:paraId="508F27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vertAlign w:val="baseline"/>
                <w:lang w:val="en-US" w:eastAsia="zh-CN" w:bidi="ar"/>
              </w:rPr>
              <w:t>赵敏</w:t>
            </w:r>
          </w:p>
        </w:tc>
        <w:tc>
          <w:tcPr>
            <w:tcW w:w="631" w:type="pct"/>
            <w:vAlign w:val="center"/>
          </w:tcPr>
          <w:p w14:paraId="0C27E6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p>
        </w:tc>
      </w:tr>
      <w:tr w14:paraId="4DDC2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33" w:type="pct"/>
            <w:vAlign w:val="center"/>
          </w:tcPr>
          <w:p w14:paraId="47B575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民乐县殡仪馆</w:t>
            </w:r>
          </w:p>
        </w:tc>
        <w:tc>
          <w:tcPr>
            <w:tcW w:w="748" w:type="pct"/>
            <w:vAlign w:val="center"/>
          </w:tcPr>
          <w:p w14:paraId="72AEF7B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马蹄藏族乡</w:t>
            </w:r>
          </w:p>
        </w:tc>
        <w:tc>
          <w:tcPr>
            <w:tcW w:w="1629" w:type="dxa"/>
            <w:vAlign w:val="center"/>
          </w:tcPr>
          <w:p w14:paraId="36F0A4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vertAlign w:val="baseline"/>
                <w:lang w:val="en-US" w:eastAsia="zh-CN" w:bidi="ar"/>
              </w:rPr>
              <w:t>18794843861</w:t>
            </w:r>
          </w:p>
        </w:tc>
        <w:tc>
          <w:tcPr>
            <w:tcW w:w="1382" w:type="dxa"/>
            <w:vAlign w:val="center"/>
          </w:tcPr>
          <w:p w14:paraId="6C7B88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vertAlign w:val="baseline"/>
                <w:lang w:val="en-US" w:eastAsia="zh-CN" w:bidi="ar"/>
              </w:rPr>
              <w:t>韩世栩</w:t>
            </w:r>
          </w:p>
        </w:tc>
        <w:tc>
          <w:tcPr>
            <w:tcW w:w="1619" w:type="dxa"/>
            <w:vAlign w:val="center"/>
          </w:tcPr>
          <w:p w14:paraId="639B18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vertAlign w:val="baseline"/>
                <w:lang w:val="en-US" w:eastAsia="zh-CN" w:bidi="ar"/>
              </w:rPr>
              <w:t>赵敏</w:t>
            </w:r>
          </w:p>
        </w:tc>
        <w:tc>
          <w:tcPr>
            <w:tcW w:w="631" w:type="pct"/>
            <w:vAlign w:val="center"/>
          </w:tcPr>
          <w:p w14:paraId="728664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p>
        </w:tc>
      </w:tr>
      <w:tr w14:paraId="69227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trPr>
        <w:tc>
          <w:tcPr>
            <w:tcW w:w="1033" w:type="pct"/>
            <w:vAlign w:val="center"/>
          </w:tcPr>
          <w:p w14:paraId="3C0961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永昌县殡仪馆</w:t>
            </w:r>
          </w:p>
        </w:tc>
        <w:tc>
          <w:tcPr>
            <w:tcW w:w="748" w:type="pct"/>
            <w:vAlign w:val="center"/>
          </w:tcPr>
          <w:p w14:paraId="6D805F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 xml:space="preserve">皇城镇 </w:t>
            </w:r>
          </w:p>
        </w:tc>
        <w:tc>
          <w:tcPr>
            <w:tcW w:w="910" w:type="pct"/>
            <w:vAlign w:val="center"/>
          </w:tcPr>
          <w:p w14:paraId="74B42C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vertAlign w:val="baseline"/>
                <w:lang w:val="en-US" w:eastAsia="zh-CN" w:bidi="ar"/>
              </w:rPr>
              <w:t>15214166222</w:t>
            </w:r>
          </w:p>
        </w:tc>
        <w:tc>
          <w:tcPr>
            <w:tcW w:w="772" w:type="pct"/>
            <w:vAlign w:val="center"/>
          </w:tcPr>
          <w:p w14:paraId="6C59DA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vertAlign w:val="baseline"/>
                <w:lang w:val="en-US" w:eastAsia="zh-CN" w:bidi="ar"/>
              </w:rPr>
              <w:t>蔡文梅</w:t>
            </w:r>
          </w:p>
        </w:tc>
        <w:tc>
          <w:tcPr>
            <w:tcW w:w="904" w:type="pct"/>
            <w:vAlign w:val="center"/>
          </w:tcPr>
          <w:p w14:paraId="4C1463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vertAlign w:val="baseline"/>
                <w:lang w:val="en-US" w:eastAsia="zh-CN" w:bidi="ar"/>
              </w:rPr>
              <w:t>邵威杰</w:t>
            </w:r>
          </w:p>
        </w:tc>
        <w:tc>
          <w:tcPr>
            <w:tcW w:w="631" w:type="pct"/>
            <w:vAlign w:val="center"/>
          </w:tcPr>
          <w:p w14:paraId="7CECA3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p>
        </w:tc>
      </w:tr>
      <w:tr w14:paraId="257CA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trPr>
        <w:tc>
          <w:tcPr>
            <w:tcW w:w="1033" w:type="pct"/>
            <w:vAlign w:val="center"/>
          </w:tcPr>
          <w:p w14:paraId="0E9DF1E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凉州区殡仪馆</w:t>
            </w:r>
          </w:p>
        </w:tc>
        <w:tc>
          <w:tcPr>
            <w:tcW w:w="748" w:type="pct"/>
            <w:vAlign w:val="center"/>
          </w:tcPr>
          <w:p w14:paraId="6D15C9B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lang w:val="en-US" w:eastAsia="zh-CN" w:bidi="ar"/>
              </w:rPr>
              <w:t xml:space="preserve">皇城镇 </w:t>
            </w:r>
          </w:p>
        </w:tc>
        <w:tc>
          <w:tcPr>
            <w:tcW w:w="1629" w:type="dxa"/>
            <w:vAlign w:val="center"/>
          </w:tcPr>
          <w:p w14:paraId="7A3182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vertAlign w:val="baseline"/>
                <w:lang w:val="en-US" w:eastAsia="zh-CN" w:bidi="ar"/>
              </w:rPr>
              <w:t>15214166222</w:t>
            </w:r>
          </w:p>
        </w:tc>
        <w:tc>
          <w:tcPr>
            <w:tcW w:w="1382" w:type="dxa"/>
            <w:vAlign w:val="center"/>
          </w:tcPr>
          <w:p w14:paraId="258F94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vertAlign w:val="baseline"/>
                <w:lang w:val="en-US" w:eastAsia="zh-CN" w:bidi="ar"/>
              </w:rPr>
              <w:t>蔡文梅</w:t>
            </w:r>
          </w:p>
        </w:tc>
        <w:tc>
          <w:tcPr>
            <w:tcW w:w="1619" w:type="dxa"/>
            <w:vAlign w:val="center"/>
          </w:tcPr>
          <w:p w14:paraId="2EFD7F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r>
              <w:rPr>
                <w:rFonts w:hint="eastAsia" w:ascii="仿宋_GB2312" w:hAnsi="仿宋_GB2312" w:eastAsia="仿宋_GB2312" w:cs="仿宋_GB2312"/>
                <w:color w:val="auto"/>
                <w:kern w:val="0"/>
                <w:sz w:val="24"/>
                <w:szCs w:val="24"/>
                <w:vertAlign w:val="baseline"/>
                <w:lang w:val="en-US" w:eastAsia="zh-CN" w:bidi="ar"/>
              </w:rPr>
              <w:t>邵威杰</w:t>
            </w:r>
          </w:p>
        </w:tc>
        <w:tc>
          <w:tcPr>
            <w:tcW w:w="631" w:type="pct"/>
            <w:vAlign w:val="center"/>
          </w:tcPr>
          <w:p w14:paraId="3EE40D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kern w:val="0"/>
                <w:sz w:val="24"/>
                <w:szCs w:val="24"/>
                <w:vertAlign w:val="baseline"/>
                <w:lang w:val="en-US" w:eastAsia="zh-CN" w:bidi="ar"/>
              </w:rPr>
            </w:pPr>
          </w:p>
        </w:tc>
      </w:tr>
    </w:tbl>
    <w:p w14:paraId="35566B1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p>
    <w:p w14:paraId="095BB9D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p>
    <w:p w14:paraId="0AEF24E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p>
    <w:p w14:paraId="79EC30A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p>
    <w:p w14:paraId="3708282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p>
    <w:p w14:paraId="4E19E3F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附件4</w:t>
      </w:r>
    </w:p>
    <w:p w14:paraId="49F21FC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kern w:val="0"/>
          <w:sz w:val="44"/>
          <w:szCs w:val="44"/>
          <w:lang w:val="en-US" w:eastAsia="zh-CN" w:bidi="ar"/>
        </w:rPr>
      </w:pPr>
      <w:r>
        <w:rPr>
          <w:rFonts w:hint="eastAsia" w:ascii="方正小标宋简体" w:hAnsi="方正小标宋简体" w:eastAsia="方正小标宋简体" w:cs="方正小标宋简体"/>
          <w:color w:val="auto"/>
          <w:kern w:val="0"/>
          <w:sz w:val="44"/>
          <w:szCs w:val="44"/>
          <w:lang w:val="en-US" w:eastAsia="zh-CN" w:bidi="ar"/>
        </w:rPr>
        <w:t>肃南县突发事件遇难人员遗体登记表</w:t>
      </w:r>
    </w:p>
    <w:p w14:paraId="192CB03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p>
    <w:p w14:paraId="16C9946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遗体编号： _________________________（唯一编号，每具遗体或残肢对应一个编号）</w:t>
      </w:r>
    </w:p>
    <w:p w14:paraId="0C9C109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一、遇难人员基本信息</w:t>
      </w:r>
      <w:r>
        <w:rPr>
          <w:rFonts w:hint="eastAsia" w:ascii="仿宋_GB2312" w:hAnsi="仿宋_GB2312" w:eastAsia="仿宋_GB2312" w:cs="仿宋_GB2312"/>
          <w:b/>
          <w:bCs/>
          <w:color w:val="auto"/>
          <w:kern w:val="0"/>
          <w:sz w:val="32"/>
          <w:szCs w:val="32"/>
          <w:lang w:val="en-US" w:eastAsia="zh-CN" w:bidi="ar"/>
        </w:rPr>
        <w:tab/>
      </w:r>
    </w:p>
    <w:p w14:paraId="2E13548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姓 名</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w:t>
      </w:r>
      <w:r>
        <w:rPr>
          <w:rFonts w:hint="eastAsia" w:ascii="仿宋_GB2312" w:hAnsi="仿宋_GB2312" w:eastAsia="仿宋_GB2312" w:cs="仿宋_GB2312"/>
          <w:color w:val="auto"/>
          <w:kern w:val="0"/>
          <w:sz w:val="32"/>
          <w:szCs w:val="32"/>
          <w:u w:val="single"/>
          <w:lang w:val="en-US" w:eastAsia="zh-CN" w:bidi="ar"/>
        </w:rPr>
        <w:t xml:space="preserve">                 </w:t>
      </w:r>
      <w:r>
        <w:rPr>
          <w:rFonts w:hint="eastAsia" w:ascii="仿宋_GB2312" w:hAnsi="仿宋_GB2312" w:eastAsia="仿宋_GB2312" w:cs="仿宋_GB2312"/>
          <w:color w:val="auto"/>
          <w:kern w:val="0"/>
          <w:sz w:val="32"/>
          <w:szCs w:val="32"/>
          <w:u w:val="none"/>
          <w:lang w:val="en-US" w:eastAsia="zh-CN" w:bidi="ar"/>
        </w:rPr>
        <w:t xml:space="preserve"> </w:t>
      </w:r>
      <w:r>
        <w:rPr>
          <w:rFonts w:hint="eastAsia" w:ascii="仿宋_GB2312" w:hAnsi="仿宋_GB2312" w:eastAsia="仿宋_GB2312" w:cs="仿宋_GB2312"/>
          <w:color w:val="auto"/>
          <w:kern w:val="0"/>
          <w:sz w:val="32"/>
          <w:szCs w:val="32"/>
          <w:lang w:val="en-US" w:eastAsia="zh-CN" w:bidi="ar"/>
        </w:rPr>
        <w:t>性 别</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 男 □ 女 □ 不明</w:t>
      </w:r>
    </w:p>
    <w:p w14:paraId="2AAA939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出生日期：</w:t>
      </w:r>
      <w:r>
        <w:rPr>
          <w:rFonts w:hint="eastAsia" w:ascii="仿宋_GB2312" w:hAnsi="仿宋_GB2312" w:eastAsia="仿宋_GB2312" w:cs="仿宋_GB2312"/>
          <w:color w:val="auto"/>
          <w:kern w:val="0"/>
          <w:sz w:val="32"/>
          <w:szCs w:val="32"/>
          <w:u w:val="single"/>
          <w:lang w:val="en-US" w:eastAsia="zh-CN" w:bidi="ar"/>
        </w:rPr>
        <w:tab/>
      </w:r>
      <w:r>
        <w:rPr>
          <w:rFonts w:hint="eastAsia" w:ascii="仿宋_GB2312" w:hAnsi="仿宋_GB2312" w:eastAsia="仿宋_GB2312" w:cs="仿宋_GB2312"/>
          <w:color w:val="auto"/>
          <w:kern w:val="0"/>
          <w:sz w:val="32"/>
          <w:szCs w:val="32"/>
          <w:u w:val="single"/>
          <w:lang w:val="en-US" w:eastAsia="zh-CN" w:bidi="ar"/>
        </w:rPr>
        <w:t xml:space="preserve">    </w:t>
      </w:r>
      <w:r>
        <w:rPr>
          <w:rFonts w:hint="eastAsia" w:ascii="仿宋_GB2312" w:hAnsi="仿宋_GB2312" w:eastAsia="仿宋_GB2312" w:cs="仿宋_GB2312"/>
          <w:color w:val="auto"/>
          <w:kern w:val="0"/>
          <w:sz w:val="32"/>
          <w:szCs w:val="32"/>
          <w:lang w:val="en-US" w:eastAsia="zh-CN" w:bidi="ar"/>
        </w:rPr>
        <w:t>年</w:t>
      </w:r>
      <w:r>
        <w:rPr>
          <w:rFonts w:hint="eastAsia" w:ascii="仿宋_GB2312" w:hAnsi="仿宋_GB2312" w:eastAsia="仿宋_GB2312" w:cs="仿宋_GB2312"/>
          <w:color w:val="auto"/>
          <w:kern w:val="0"/>
          <w:sz w:val="32"/>
          <w:szCs w:val="32"/>
          <w:u w:val="single"/>
          <w:lang w:val="en-US" w:eastAsia="zh-CN" w:bidi="ar"/>
        </w:rPr>
        <w:t xml:space="preserve">   </w:t>
      </w:r>
      <w:r>
        <w:rPr>
          <w:rFonts w:hint="eastAsia" w:ascii="仿宋_GB2312" w:hAnsi="仿宋_GB2312" w:eastAsia="仿宋_GB2312" w:cs="仿宋_GB2312"/>
          <w:color w:val="auto"/>
          <w:kern w:val="0"/>
          <w:sz w:val="32"/>
          <w:szCs w:val="32"/>
          <w:lang w:val="en-US" w:eastAsia="zh-CN" w:bidi="ar"/>
        </w:rPr>
        <w:t>月</w:t>
      </w:r>
      <w:r>
        <w:rPr>
          <w:rFonts w:hint="eastAsia" w:ascii="仿宋_GB2312" w:hAnsi="仿宋_GB2312" w:eastAsia="仿宋_GB2312" w:cs="仿宋_GB2312"/>
          <w:color w:val="auto"/>
          <w:kern w:val="0"/>
          <w:sz w:val="32"/>
          <w:szCs w:val="32"/>
          <w:u w:val="single"/>
          <w:lang w:val="en-US" w:eastAsia="zh-CN" w:bidi="ar"/>
        </w:rPr>
        <w:t xml:space="preserve">   </w:t>
      </w:r>
      <w:r>
        <w:rPr>
          <w:rFonts w:hint="eastAsia" w:ascii="仿宋_GB2312" w:hAnsi="仿宋_GB2312" w:eastAsia="仿宋_GB2312" w:cs="仿宋_GB2312"/>
          <w:color w:val="auto"/>
          <w:kern w:val="0"/>
          <w:sz w:val="32"/>
          <w:szCs w:val="32"/>
          <w:lang w:val="en-US" w:eastAsia="zh-CN" w:bidi="ar"/>
        </w:rPr>
        <w:t>日（年龄：______岁）</w:t>
      </w:r>
    </w:p>
    <w:p w14:paraId="5C66430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民 族</w:t>
      </w:r>
      <w:r>
        <w:rPr>
          <w:rFonts w:hint="eastAsia" w:ascii="仿宋_GB2312" w:hAnsi="仿宋_GB2312" w:eastAsia="仿宋_GB2312" w:cs="仿宋_GB2312"/>
          <w:color w:val="auto"/>
          <w:kern w:val="0"/>
          <w:sz w:val="32"/>
          <w:szCs w:val="32"/>
          <w:u w:val="none"/>
          <w:lang w:val="en-US" w:eastAsia="zh-CN" w:bidi="ar"/>
        </w:rPr>
        <w:tab/>
      </w:r>
      <w:r>
        <w:rPr>
          <w:rFonts w:hint="eastAsia" w:ascii="仿宋_GB2312" w:hAnsi="仿宋_GB2312" w:eastAsia="仿宋_GB2312" w:cs="仿宋_GB2312"/>
          <w:color w:val="auto"/>
          <w:kern w:val="0"/>
          <w:sz w:val="32"/>
          <w:szCs w:val="32"/>
          <w:u w:val="none"/>
          <w:lang w:val="en-US" w:eastAsia="zh-CN" w:bidi="ar"/>
        </w:rPr>
        <w:t>：</w:t>
      </w:r>
      <w:r>
        <w:rPr>
          <w:rFonts w:hint="eastAsia" w:ascii="仿宋_GB2312" w:hAnsi="仿宋_GB2312" w:eastAsia="仿宋_GB2312" w:cs="仿宋_GB2312"/>
          <w:color w:val="auto"/>
          <w:kern w:val="0"/>
          <w:sz w:val="32"/>
          <w:szCs w:val="32"/>
          <w:u w:val="single"/>
          <w:lang w:val="en-US" w:eastAsia="zh-CN" w:bidi="ar"/>
        </w:rPr>
        <w:t xml:space="preserve">       </w:t>
      </w:r>
      <w:r>
        <w:rPr>
          <w:rFonts w:hint="eastAsia" w:ascii="仿宋_GB2312" w:hAnsi="仿宋_GB2312" w:eastAsia="仿宋_GB2312" w:cs="仿宋_GB2312"/>
          <w:color w:val="auto"/>
          <w:kern w:val="0"/>
          <w:sz w:val="32"/>
          <w:szCs w:val="32"/>
          <w:lang w:val="en-US" w:eastAsia="zh-CN" w:bidi="ar"/>
        </w:rPr>
        <w:t>身份证件类型：□ 居民身份证 □ 护照 □ 其他______</w:t>
      </w:r>
    </w:p>
    <w:p w14:paraId="2C70E6C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color w:val="auto"/>
          <w:kern w:val="0"/>
          <w:sz w:val="32"/>
          <w:szCs w:val="32"/>
          <w:u w:val="single"/>
          <w:lang w:val="en-US" w:eastAsia="zh-CN" w:bidi="ar"/>
        </w:rPr>
      </w:pPr>
      <w:r>
        <w:rPr>
          <w:rFonts w:hint="eastAsia" w:ascii="仿宋_GB2312" w:hAnsi="仿宋_GB2312" w:eastAsia="仿宋_GB2312" w:cs="仿宋_GB2312"/>
          <w:color w:val="auto"/>
          <w:kern w:val="0"/>
          <w:sz w:val="32"/>
          <w:szCs w:val="32"/>
          <w:lang w:val="en-US" w:eastAsia="zh-CN" w:bidi="ar"/>
        </w:rPr>
        <w:t>身份证件号码：</w:t>
      </w:r>
      <w:r>
        <w:rPr>
          <w:rFonts w:hint="eastAsia" w:ascii="仿宋_GB2312" w:hAnsi="仿宋_GB2312" w:eastAsia="仿宋_GB2312" w:cs="仿宋_GB2312"/>
          <w:color w:val="auto"/>
          <w:kern w:val="0"/>
          <w:sz w:val="32"/>
          <w:szCs w:val="32"/>
          <w:u w:val="single"/>
          <w:lang w:val="en-US" w:eastAsia="zh-CN" w:bidi="ar"/>
        </w:rPr>
        <w:tab/>
      </w:r>
      <w:r>
        <w:rPr>
          <w:rFonts w:hint="eastAsia" w:ascii="仿宋_GB2312" w:hAnsi="仿宋_GB2312" w:eastAsia="仿宋_GB2312" w:cs="仿宋_GB2312"/>
          <w:color w:val="auto"/>
          <w:kern w:val="0"/>
          <w:sz w:val="32"/>
          <w:szCs w:val="32"/>
          <w:u w:val="single"/>
          <w:lang w:val="en-US" w:eastAsia="zh-CN" w:bidi="ar"/>
        </w:rPr>
        <w:t xml:space="preserve">                              </w:t>
      </w:r>
    </w:p>
    <w:p w14:paraId="7405650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户籍所在地</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省市区（县）</w:t>
      </w:r>
      <w:r>
        <w:rPr>
          <w:rFonts w:hint="eastAsia" w:ascii="仿宋_GB2312" w:hAnsi="仿宋_GB2312" w:eastAsia="仿宋_GB2312" w:cs="仿宋_GB2312"/>
          <w:b/>
          <w:bCs/>
          <w:color w:val="auto"/>
          <w:kern w:val="0"/>
          <w:sz w:val="32"/>
          <w:szCs w:val="32"/>
          <w:lang w:val="en-US" w:eastAsia="zh-CN" w:bidi="ar"/>
        </w:rPr>
        <w:t>：</w:t>
      </w:r>
    </w:p>
    <w:p w14:paraId="496956A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二、遗体发现及处置信息</w:t>
      </w:r>
      <w:r>
        <w:rPr>
          <w:rFonts w:hint="eastAsia" w:ascii="仿宋_GB2312" w:hAnsi="仿宋_GB2312" w:eastAsia="仿宋_GB2312" w:cs="仿宋_GB2312"/>
          <w:b/>
          <w:bCs/>
          <w:color w:val="auto"/>
          <w:kern w:val="0"/>
          <w:sz w:val="32"/>
          <w:szCs w:val="32"/>
          <w:lang w:val="en-US" w:eastAsia="zh-CN" w:bidi="ar"/>
        </w:rPr>
        <w:tab/>
      </w:r>
    </w:p>
    <w:p w14:paraId="134ED24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发现时间：</w:t>
      </w:r>
      <w:r>
        <w:rPr>
          <w:rFonts w:hint="eastAsia" w:ascii="仿宋_GB2312" w:hAnsi="仿宋_GB2312" w:eastAsia="仿宋_GB2312" w:cs="仿宋_GB2312"/>
          <w:color w:val="auto"/>
          <w:kern w:val="0"/>
          <w:sz w:val="32"/>
          <w:szCs w:val="32"/>
          <w:u w:val="single"/>
          <w:lang w:val="en-US" w:eastAsia="zh-CN" w:bidi="ar"/>
        </w:rPr>
        <w:t xml:space="preserve">       </w:t>
      </w:r>
      <w:r>
        <w:rPr>
          <w:rFonts w:hint="eastAsia" w:ascii="仿宋_GB2312" w:hAnsi="仿宋_GB2312" w:eastAsia="仿宋_GB2312" w:cs="仿宋_GB2312"/>
          <w:color w:val="auto"/>
          <w:kern w:val="0"/>
          <w:sz w:val="32"/>
          <w:szCs w:val="32"/>
          <w:lang w:val="en-US" w:eastAsia="zh-CN" w:bidi="ar"/>
        </w:rPr>
        <w:t>年</w:t>
      </w:r>
      <w:r>
        <w:rPr>
          <w:rFonts w:hint="eastAsia" w:ascii="仿宋_GB2312" w:hAnsi="仿宋_GB2312" w:eastAsia="仿宋_GB2312" w:cs="仿宋_GB2312"/>
          <w:color w:val="auto"/>
          <w:kern w:val="0"/>
          <w:sz w:val="32"/>
          <w:szCs w:val="32"/>
          <w:u w:val="single"/>
          <w:lang w:val="en-US" w:eastAsia="zh-CN" w:bidi="ar"/>
        </w:rPr>
        <w:t xml:space="preserve">   </w:t>
      </w:r>
      <w:r>
        <w:rPr>
          <w:rFonts w:hint="eastAsia" w:ascii="仿宋_GB2312" w:hAnsi="仿宋_GB2312" w:eastAsia="仿宋_GB2312" w:cs="仿宋_GB2312"/>
          <w:color w:val="auto"/>
          <w:kern w:val="0"/>
          <w:sz w:val="32"/>
          <w:szCs w:val="32"/>
          <w:lang w:val="en-US" w:eastAsia="zh-CN" w:bidi="ar"/>
        </w:rPr>
        <w:t>月</w:t>
      </w:r>
      <w:r>
        <w:rPr>
          <w:rFonts w:hint="eastAsia" w:ascii="仿宋_GB2312" w:hAnsi="仿宋_GB2312" w:eastAsia="仿宋_GB2312" w:cs="仿宋_GB2312"/>
          <w:color w:val="auto"/>
          <w:kern w:val="0"/>
          <w:sz w:val="32"/>
          <w:szCs w:val="32"/>
          <w:u w:val="single"/>
          <w:lang w:val="en-US" w:eastAsia="zh-CN" w:bidi="ar"/>
        </w:rPr>
        <w:t xml:space="preserve">   </w:t>
      </w:r>
      <w:r>
        <w:rPr>
          <w:rFonts w:hint="eastAsia" w:ascii="仿宋_GB2312" w:hAnsi="仿宋_GB2312" w:eastAsia="仿宋_GB2312" w:cs="仿宋_GB2312"/>
          <w:color w:val="auto"/>
          <w:kern w:val="0"/>
          <w:sz w:val="32"/>
          <w:szCs w:val="32"/>
          <w:lang w:val="en-US" w:eastAsia="zh-CN" w:bidi="ar"/>
        </w:rPr>
        <w:t>日</w:t>
      </w:r>
      <w:r>
        <w:rPr>
          <w:rFonts w:hint="eastAsia" w:ascii="仿宋_GB2312" w:hAnsi="仿宋_GB2312" w:eastAsia="仿宋_GB2312" w:cs="仿宋_GB2312"/>
          <w:color w:val="auto"/>
          <w:kern w:val="0"/>
          <w:sz w:val="32"/>
          <w:szCs w:val="32"/>
          <w:u w:val="single"/>
          <w:lang w:val="en-US" w:eastAsia="zh-CN" w:bidi="ar"/>
        </w:rPr>
        <w:t xml:space="preserve">     </w:t>
      </w:r>
      <w:r>
        <w:rPr>
          <w:rFonts w:hint="eastAsia" w:ascii="仿宋_GB2312" w:hAnsi="仿宋_GB2312" w:eastAsia="仿宋_GB2312" w:cs="仿宋_GB2312"/>
          <w:color w:val="auto"/>
          <w:kern w:val="0"/>
          <w:sz w:val="32"/>
          <w:szCs w:val="32"/>
          <w:lang w:val="en-US" w:eastAsia="zh-CN" w:bidi="ar"/>
        </w:rPr>
        <w:t>时</w:t>
      </w:r>
      <w:r>
        <w:rPr>
          <w:rFonts w:hint="eastAsia" w:ascii="仿宋_GB2312" w:hAnsi="仿宋_GB2312" w:eastAsia="仿宋_GB2312" w:cs="仿宋_GB2312"/>
          <w:color w:val="auto"/>
          <w:kern w:val="0"/>
          <w:sz w:val="32"/>
          <w:szCs w:val="32"/>
          <w:u w:val="single"/>
          <w:lang w:val="en-US" w:eastAsia="zh-CN" w:bidi="ar"/>
        </w:rPr>
        <w:t xml:space="preserve">     </w:t>
      </w:r>
      <w:r>
        <w:rPr>
          <w:rFonts w:hint="eastAsia" w:ascii="仿宋_GB2312" w:hAnsi="仿宋_GB2312" w:eastAsia="仿宋_GB2312" w:cs="仿宋_GB2312"/>
          <w:color w:val="auto"/>
          <w:kern w:val="0"/>
          <w:sz w:val="32"/>
          <w:szCs w:val="32"/>
          <w:lang w:val="en-US" w:eastAsia="zh-CN" w:bidi="ar"/>
        </w:rPr>
        <w:t>分</w:t>
      </w:r>
    </w:p>
    <w:p w14:paraId="4A40686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发现地点：</w:t>
      </w:r>
      <w:r>
        <w:rPr>
          <w:rFonts w:hint="eastAsia" w:ascii="仿宋_GB2312" w:hAnsi="仿宋_GB2312" w:eastAsia="仿宋_GB2312" w:cs="仿宋_GB2312"/>
          <w:color w:val="auto"/>
          <w:kern w:val="0"/>
          <w:sz w:val="32"/>
          <w:szCs w:val="32"/>
          <w:lang w:val="en-US" w:eastAsia="zh-CN" w:bidi="ar"/>
        </w:rPr>
        <w:tab/>
      </w:r>
    </w:p>
    <w:p w14:paraId="37E012C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发现时遗体状况：□ 完整 □ 残缺 □ 其他______</w:t>
      </w:r>
    </w:p>
    <w:p w14:paraId="4032CF5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遗体处置方式：□ 火化 □ 土葬 □ 暂存 □ 其他______</w:t>
      </w:r>
    </w:p>
    <w:p w14:paraId="083C217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三、死亡信息</w:t>
      </w:r>
      <w:r>
        <w:rPr>
          <w:rFonts w:hint="eastAsia" w:ascii="仿宋_GB2312" w:hAnsi="仿宋_GB2312" w:eastAsia="仿宋_GB2312" w:cs="仿宋_GB2312"/>
          <w:color w:val="auto"/>
          <w:kern w:val="0"/>
          <w:sz w:val="32"/>
          <w:szCs w:val="32"/>
          <w:lang w:val="en-US" w:eastAsia="zh-CN" w:bidi="ar"/>
        </w:rPr>
        <w:tab/>
      </w:r>
    </w:p>
    <w:p w14:paraId="1368B73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死亡时间：</w:t>
      </w:r>
      <w:r>
        <w:rPr>
          <w:rFonts w:hint="eastAsia" w:ascii="仿宋_GB2312" w:hAnsi="仿宋_GB2312" w:eastAsia="仿宋_GB2312" w:cs="仿宋_GB2312"/>
          <w:color w:val="auto"/>
          <w:kern w:val="0"/>
          <w:sz w:val="32"/>
          <w:szCs w:val="32"/>
          <w:u w:val="single"/>
          <w:lang w:val="en-US" w:eastAsia="zh-CN" w:bidi="ar"/>
        </w:rPr>
        <w:tab/>
      </w:r>
      <w:r>
        <w:rPr>
          <w:rFonts w:hint="eastAsia" w:ascii="仿宋_GB2312" w:hAnsi="仿宋_GB2312" w:eastAsia="仿宋_GB2312" w:cs="仿宋_GB2312"/>
          <w:color w:val="auto"/>
          <w:kern w:val="0"/>
          <w:sz w:val="32"/>
          <w:szCs w:val="32"/>
          <w:u w:val="single"/>
          <w:lang w:val="en-US" w:eastAsia="zh-CN" w:bidi="ar"/>
        </w:rPr>
        <w:t xml:space="preserve">   </w:t>
      </w:r>
      <w:r>
        <w:rPr>
          <w:rFonts w:hint="eastAsia" w:ascii="仿宋_GB2312" w:hAnsi="仿宋_GB2312" w:eastAsia="仿宋_GB2312" w:cs="仿宋_GB2312"/>
          <w:color w:val="auto"/>
          <w:kern w:val="0"/>
          <w:sz w:val="32"/>
          <w:szCs w:val="32"/>
          <w:lang w:val="en-US" w:eastAsia="zh-CN" w:bidi="ar"/>
        </w:rPr>
        <w:t>年</w:t>
      </w:r>
      <w:r>
        <w:rPr>
          <w:rFonts w:hint="eastAsia" w:ascii="仿宋_GB2312" w:hAnsi="仿宋_GB2312" w:eastAsia="仿宋_GB2312" w:cs="仿宋_GB2312"/>
          <w:color w:val="auto"/>
          <w:kern w:val="0"/>
          <w:sz w:val="32"/>
          <w:szCs w:val="32"/>
          <w:u w:val="single"/>
          <w:lang w:val="en-US" w:eastAsia="zh-CN" w:bidi="ar"/>
        </w:rPr>
        <w:t xml:space="preserve">   </w:t>
      </w:r>
      <w:r>
        <w:rPr>
          <w:rFonts w:hint="eastAsia" w:ascii="仿宋_GB2312" w:hAnsi="仿宋_GB2312" w:eastAsia="仿宋_GB2312" w:cs="仿宋_GB2312"/>
          <w:color w:val="auto"/>
          <w:kern w:val="0"/>
          <w:sz w:val="32"/>
          <w:szCs w:val="32"/>
          <w:lang w:val="en-US" w:eastAsia="zh-CN" w:bidi="ar"/>
        </w:rPr>
        <w:t>月</w:t>
      </w:r>
      <w:r>
        <w:rPr>
          <w:rFonts w:hint="eastAsia" w:ascii="仿宋_GB2312" w:hAnsi="仿宋_GB2312" w:eastAsia="仿宋_GB2312" w:cs="仿宋_GB2312"/>
          <w:color w:val="auto"/>
          <w:kern w:val="0"/>
          <w:sz w:val="32"/>
          <w:szCs w:val="32"/>
          <w:u w:val="single"/>
          <w:lang w:val="en-US" w:eastAsia="zh-CN" w:bidi="ar"/>
        </w:rPr>
        <w:t xml:space="preserve">   </w:t>
      </w:r>
      <w:r>
        <w:rPr>
          <w:rFonts w:hint="eastAsia" w:ascii="仿宋_GB2312" w:hAnsi="仿宋_GB2312" w:eastAsia="仿宋_GB2312" w:cs="仿宋_GB2312"/>
          <w:color w:val="auto"/>
          <w:kern w:val="0"/>
          <w:sz w:val="32"/>
          <w:szCs w:val="32"/>
          <w:lang w:val="en-US" w:eastAsia="zh-CN" w:bidi="ar"/>
        </w:rPr>
        <w:t>日</w:t>
      </w:r>
      <w:r>
        <w:rPr>
          <w:rFonts w:hint="eastAsia" w:ascii="仿宋_GB2312" w:hAnsi="仿宋_GB2312" w:eastAsia="仿宋_GB2312" w:cs="仿宋_GB2312"/>
          <w:color w:val="auto"/>
          <w:kern w:val="0"/>
          <w:sz w:val="32"/>
          <w:szCs w:val="32"/>
          <w:u w:val="single"/>
          <w:lang w:val="en-US" w:eastAsia="zh-CN" w:bidi="ar"/>
        </w:rPr>
        <w:t xml:space="preserve">   </w:t>
      </w:r>
      <w:r>
        <w:rPr>
          <w:rFonts w:hint="eastAsia" w:ascii="仿宋_GB2312" w:hAnsi="仿宋_GB2312" w:eastAsia="仿宋_GB2312" w:cs="仿宋_GB2312"/>
          <w:color w:val="auto"/>
          <w:kern w:val="0"/>
          <w:sz w:val="32"/>
          <w:szCs w:val="32"/>
          <w:lang w:val="en-US" w:eastAsia="zh-CN" w:bidi="ar"/>
        </w:rPr>
        <w:t>时</w:t>
      </w:r>
      <w:r>
        <w:rPr>
          <w:rFonts w:hint="eastAsia" w:ascii="仿宋_GB2312" w:hAnsi="仿宋_GB2312" w:eastAsia="仿宋_GB2312" w:cs="仿宋_GB2312"/>
          <w:color w:val="auto"/>
          <w:kern w:val="0"/>
          <w:sz w:val="32"/>
          <w:szCs w:val="32"/>
          <w:u w:val="single"/>
          <w:lang w:val="en-US" w:eastAsia="zh-CN" w:bidi="ar"/>
        </w:rPr>
        <w:t xml:space="preserve">   </w:t>
      </w:r>
      <w:r>
        <w:rPr>
          <w:rFonts w:hint="eastAsia" w:ascii="仿宋_GB2312" w:hAnsi="仿宋_GB2312" w:eastAsia="仿宋_GB2312" w:cs="仿宋_GB2312"/>
          <w:color w:val="auto"/>
          <w:kern w:val="0"/>
          <w:sz w:val="32"/>
          <w:szCs w:val="32"/>
          <w:lang w:val="en-US" w:eastAsia="zh-CN" w:bidi="ar"/>
        </w:rPr>
        <w:t>分（□ 确切 □ 预估）</w:t>
      </w:r>
    </w:p>
    <w:p w14:paraId="5555A77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死亡地点：</w:t>
      </w:r>
      <w:r>
        <w:rPr>
          <w:rFonts w:hint="eastAsia" w:ascii="仿宋_GB2312" w:hAnsi="仿宋_GB2312" w:eastAsia="仿宋_GB2312" w:cs="仿宋_GB2312"/>
          <w:color w:val="auto"/>
          <w:kern w:val="0"/>
          <w:sz w:val="32"/>
          <w:szCs w:val="32"/>
          <w:lang w:val="en-US" w:eastAsia="zh-CN" w:bidi="ar"/>
        </w:rPr>
        <w:tab/>
      </w:r>
    </w:p>
    <w:p w14:paraId="4CE99E0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死亡原因：</w:t>
      </w:r>
      <w:r>
        <w:rPr>
          <w:rFonts w:hint="eastAsia" w:ascii="仿宋_GB2312" w:hAnsi="仿宋_GB2312" w:eastAsia="仿宋_GB2312" w:cs="仿宋_GB2312"/>
          <w:color w:val="auto"/>
          <w:kern w:val="0"/>
          <w:sz w:val="32"/>
          <w:szCs w:val="32"/>
          <w:lang w:val="en-US" w:eastAsia="zh-CN" w:bidi="ar"/>
        </w:rPr>
        <w:tab/>
      </w:r>
    </w:p>
    <w:p w14:paraId="0EC7CCE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死亡原因类别：□ 自然灾害 □ 事故灾难 □ 社会安全事件 □ 其他______</w:t>
      </w:r>
    </w:p>
    <w:p w14:paraId="4FA0321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四、遗体确认及交接信息</w:t>
      </w:r>
      <w:r>
        <w:rPr>
          <w:rFonts w:hint="eastAsia" w:ascii="仿宋_GB2312" w:hAnsi="仿宋_GB2312" w:eastAsia="仿宋_GB2312" w:cs="仿宋_GB2312"/>
          <w:color w:val="auto"/>
          <w:kern w:val="0"/>
          <w:sz w:val="32"/>
          <w:szCs w:val="32"/>
          <w:lang w:val="en-US" w:eastAsia="zh-CN" w:bidi="ar"/>
        </w:rPr>
        <w:tab/>
      </w:r>
    </w:p>
    <w:p w14:paraId="61855AB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确认方式：</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 家属辨认 □ DNA比对 □ 指纹比对 □ 其他______</w:t>
      </w:r>
    </w:p>
    <w:p w14:paraId="03A47E0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确认时间：</w:t>
      </w:r>
      <w:r>
        <w:rPr>
          <w:rFonts w:hint="eastAsia" w:ascii="仿宋_GB2312" w:hAnsi="仿宋_GB2312" w:eastAsia="仿宋_GB2312" w:cs="仿宋_GB2312"/>
          <w:color w:val="auto"/>
          <w:kern w:val="0"/>
          <w:sz w:val="32"/>
          <w:szCs w:val="32"/>
          <w:u w:val="single"/>
          <w:lang w:val="en-US" w:eastAsia="zh-CN" w:bidi="ar"/>
        </w:rPr>
        <w:t xml:space="preserve">    </w:t>
      </w:r>
      <w:r>
        <w:rPr>
          <w:rFonts w:hint="eastAsia" w:ascii="仿宋_GB2312" w:hAnsi="仿宋_GB2312" w:eastAsia="仿宋_GB2312" w:cs="仿宋_GB2312"/>
          <w:color w:val="auto"/>
          <w:kern w:val="0"/>
          <w:sz w:val="32"/>
          <w:szCs w:val="32"/>
          <w:u w:val="single"/>
          <w:lang w:val="en-US" w:eastAsia="zh-CN" w:bidi="ar"/>
        </w:rPr>
        <w:tab/>
      </w:r>
      <w:r>
        <w:rPr>
          <w:rFonts w:hint="eastAsia" w:ascii="仿宋_GB2312" w:hAnsi="仿宋_GB2312" w:eastAsia="仿宋_GB2312" w:cs="仿宋_GB2312"/>
          <w:color w:val="auto"/>
          <w:kern w:val="0"/>
          <w:sz w:val="32"/>
          <w:szCs w:val="32"/>
          <w:lang w:val="en-US" w:eastAsia="zh-CN" w:bidi="ar"/>
        </w:rPr>
        <w:t>年</w:t>
      </w:r>
      <w:r>
        <w:rPr>
          <w:rFonts w:hint="eastAsia" w:ascii="仿宋_GB2312" w:hAnsi="仿宋_GB2312" w:eastAsia="仿宋_GB2312" w:cs="仿宋_GB2312"/>
          <w:color w:val="auto"/>
          <w:kern w:val="0"/>
          <w:sz w:val="32"/>
          <w:szCs w:val="32"/>
          <w:u w:val="single"/>
          <w:lang w:val="en-US" w:eastAsia="zh-CN" w:bidi="ar"/>
        </w:rPr>
        <w:t xml:space="preserve">    </w:t>
      </w:r>
      <w:r>
        <w:rPr>
          <w:rFonts w:hint="eastAsia" w:ascii="仿宋_GB2312" w:hAnsi="仿宋_GB2312" w:eastAsia="仿宋_GB2312" w:cs="仿宋_GB2312"/>
          <w:color w:val="auto"/>
          <w:kern w:val="0"/>
          <w:sz w:val="32"/>
          <w:szCs w:val="32"/>
          <w:lang w:val="en-US" w:eastAsia="zh-CN" w:bidi="ar"/>
        </w:rPr>
        <w:t>月</w:t>
      </w:r>
      <w:r>
        <w:rPr>
          <w:rFonts w:hint="eastAsia" w:ascii="仿宋_GB2312" w:hAnsi="仿宋_GB2312" w:eastAsia="仿宋_GB2312" w:cs="仿宋_GB2312"/>
          <w:color w:val="auto"/>
          <w:kern w:val="0"/>
          <w:sz w:val="32"/>
          <w:szCs w:val="32"/>
          <w:u w:val="single"/>
          <w:lang w:val="en-US" w:eastAsia="zh-CN" w:bidi="ar"/>
        </w:rPr>
        <w:t xml:space="preserve">    </w:t>
      </w:r>
      <w:r>
        <w:rPr>
          <w:rFonts w:hint="eastAsia" w:ascii="仿宋_GB2312" w:hAnsi="仿宋_GB2312" w:eastAsia="仿宋_GB2312" w:cs="仿宋_GB2312"/>
          <w:color w:val="auto"/>
          <w:kern w:val="0"/>
          <w:sz w:val="32"/>
          <w:szCs w:val="32"/>
          <w:lang w:val="en-US" w:eastAsia="zh-CN" w:bidi="ar"/>
        </w:rPr>
        <w:t>日</w:t>
      </w:r>
    </w:p>
    <w:p w14:paraId="6FF2C38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确认人/单位：</w:t>
      </w:r>
      <w:r>
        <w:rPr>
          <w:rFonts w:hint="eastAsia" w:ascii="仿宋_GB2312" w:hAnsi="仿宋_GB2312" w:eastAsia="仿宋_GB2312" w:cs="仿宋_GB2312"/>
          <w:color w:val="auto"/>
          <w:kern w:val="0"/>
          <w:sz w:val="32"/>
          <w:szCs w:val="32"/>
          <w:lang w:val="en-US" w:eastAsia="zh-CN" w:bidi="ar"/>
        </w:rPr>
        <w:tab/>
      </w:r>
    </w:p>
    <w:p w14:paraId="0D84D1C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遗体交接时间：</w:t>
      </w:r>
      <w:r>
        <w:rPr>
          <w:rFonts w:hint="eastAsia" w:ascii="仿宋_GB2312" w:hAnsi="仿宋_GB2312" w:eastAsia="仿宋_GB2312" w:cs="仿宋_GB2312"/>
          <w:color w:val="auto"/>
          <w:kern w:val="0"/>
          <w:sz w:val="32"/>
          <w:szCs w:val="32"/>
          <w:u w:val="single"/>
          <w:lang w:val="en-US" w:eastAsia="zh-CN" w:bidi="ar"/>
        </w:rPr>
        <w:t xml:space="preserve">   </w:t>
      </w:r>
      <w:r>
        <w:rPr>
          <w:rFonts w:hint="eastAsia" w:ascii="仿宋_GB2312" w:hAnsi="仿宋_GB2312" w:eastAsia="仿宋_GB2312" w:cs="仿宋_GB2312"/>
          <w:color w:val="auto"/>
          <w:kern w:val="0"/>
          <w:sz w:val="32"/>
          <w:szCs w:val="32"/>
          <w:u w:val="single"/>
          <w:lang w:val="en-US" w:eastAsia="zh-CN" w:bidi="ar"/>
        </w:rPr>
        <w:tab/>
      </w:r>
      <w:r>
        <w:rPr>
          <w:rFonts w:hint="eastAsia" w:ascii="仿宋_GB2312" w:hAnsi="仿宋_GB2312" w:eastAsia="仿宋_GB2312" w:cs="仿宋_GB2312"/>
          <w:color w:val="auto"/>
          <w:kern w:val="0"/>
          <w:sz w:val="32"/>
          <w:szCs w:val="32"/>
          <w:lang w:val="en-US" w:eastAsia="zh-CN" w:bidi="ar"/>
        </w:rPr>
        <w:t>年</w:t>
      </w:r>
      <w:r>
        <w:rPr>
          <w:rFonts w:hint="eastAsia" w:ascii="仿宋_GB2312" w:hAnsi="仿宋_GB2312" w:eastAsia="仿宋_GB2312" w:cs="仿宋_GB2312"/>
          <w:color w:val="auto"/>
          <w:kern w:val="0"/>
          <w:sz w:val="32"/>
          <w:szCs w:val="32"/>
          <w:u w:val="single"/>
          <w:lang w:val="en-US" w:eastAsia="zh-CN" w:bidi="ar"/>
        </w:rPr>
        <w:t xml:space="preserve">    </w:t>
      </w:r>
      <w:r>
        <w:rPr>
          <w:rFonts w:hint="eastAsia" w:ascii="仿宋_GB2312" w:hAnsi="仿宋_GB2312" w:eastAsia="仿宋_GB2312" w:cs="仿宋_GB2312"/>
          <w:color w:val="auto"/>
          <w:kern w:val="0"/>
          <w:sz w:val="32"/>
          <w:szCs w:val="32"/>
          <w:lang w:val="en-US" w:eastAsia="zh-CN" w:bidi="ar"/>
        </w:rPr>
        <w:t>月</w:t>
      </w:r>
      <w:r>
        <w:rPr>
          <w:rFonts w:hint="eastAsia" w:ascii="仿宋_GB2312" w:hAnsi="仿宋_GB2312" w:eastAsia="仿宋_GB2312" w:cs="仿宋_GB2312"/>
          <w:color w:val="auto"/>
          <w:kern w:val="0"/>
          <w:sz w:val="32"/>
          <w:szCs w:val="32"/>
          <w:u w:val="single"/>
          <w:lang w:val="en-US" w:eastAsia="zh-CN" w:bidi="ar"/>
        </w:rPr>
        <w:t xml:space="preserve">     </w:t>
      </w:r>
      <w:r>
        <w:rPr>
          <w:rFonts w:hint="eastAsia" w:ascii="仿宋_GB2312" w:hAnsi="仿宋_GB2312" w:eastAsia="仿宋_GB2312" w:cs="仿宋_GB2312"/>
          <w:color w:val="auto"/>
          <w:kern w:val="0"/>
          <w:sz w:val="32"/>
          <w:szCs w:val="32"/>
          <w:lang w:val="en-US" w:eastAsia="zh-CN" w:bidi="ar"/>
        </w:rPr>
        <w:t>日</w:t>
      </w:r>
    </w:p>
    <w:p w14:paraId="36E97A6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接收单位：</w:t>
      </w:r>
      <w:r>
        <w:rPr>
          <w:rFonts w:hint="eastAsia" w:ascii="仿宋_GB2312" w:hAnsi="仿宋_GB2312" w:eastAsia="仿宋_GB2312" w:cs="仿宋_GB2312"/>
          <w:color w:val="auto"/>
          <w:kern w:val="0"/>
          <w:sz w:val="32"/>
          <w:szCs w:val="32"/>
          <w:lang w:val="en-US" w:eastAsia="zh-CN" w:bidi="ar"/>
        </w:rPr>
        <w:tab/>
      </w:r>
    </w:p>
    <w:p w14:paraId="4BA95FC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交接人签名</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w:t>
      </w:r>
    </w:p>
    <w:p w14:paraId="3530352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五、家属/联系人信息</w:t>
      </w:r>
      <w:r>
        <w:rPr>
          <w:rFonts w:hint="eastAsia" w:ascii="仿宋_GB2312" w:hAnsi="仿宋_GB2312" w:eastAsia="仿宋_GB2312" w:cs="仿宋_GB2312"/>
          <w:b/>
          <w:bCs/>
          <w:color w:val="auto"/>
          <w:kern w:val="0"/>
          <w:sz w:val="32"/>
          <w:szCs w:val="32"/>
          <w:lang w:val="en-US" w:eastAsia="zh-CN" w:bidi="ar"/>
        </w:rPr>
        <w:tab/>
      </w:r>
    </w:p>
    <w:p w14:paraId="6357AEF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家属姓名：</w:t>
      </w:r>
      <w:r>
        <w:rPr>
          <w:rFonts w:hint="eastAsia" w:ascii="仿宋_GB2312" w:hAnsi="仿宋_GB2312" w:eastAsia="仿宋_GB2312" w:cs="仿宋_GB2312"/>
          <w:color w:val="auto"/>
          <w:kern w:val="0"/>
          <w:sz w:val="32"/>
          <w:szCs w:val="32"/>
          <w:lang w:val="en-US" w:eastAsia="zh-CN" w:bidi="ar"/>
        </w:rPr>
        <w:tab/>
      </w:r>
    </w:p>
    <w:p w14:paraId="3E21089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与遇难者关系</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w:t>
      </w:r>
    </w:p>
    <w:p w14:paraId="255C2B3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联系电话：</w:t>
      </w:r>
      <w:r>
        <w:rPr>
          <w:rFonts w:hint="eastAsia" w:ascii="仿宋_GB2312" w:hAnsi="仿宋_GB2312" w:eastAsia="仿宋_GB2312" w:cs="仿宋_GB2312"/>
          <w:color w:val="auto"/>
          <w:kern w:val="0"/>
          <w:sz w:val="32"/>
          <w:szCs w:val="32"/>
          <w:lang w:val="en-US" w:eastAsia="zh-CN" w:bidi="ar"/>
        </w:rPr>
        <w:tab/>
      </w:r>
    </w:p>
    <w:p w14:paraId="69F9827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联系地址：</w:t>
      </w:r>
      <w:r>
        <w:rPr>
          <w:rFonts w:hint="eastAsia" w:ascii="仿宋_GB2312" w:hAnsi="仿宋_GB2312" w:eastAsia="仿宋_GB2312" w:cs="仿宋_GB2312"/>
          <w:color w:val="auto"/>
          <w:kern w:val="0"/>
          <w:sz w:val="32"/>
          <w:szCs w:val="32"/>
          <w:lang w:val="en-US" w:eastAsia="zh-CN" w:bidi="ar"/>
        </w:rPr>
        <w:tab/>
      </w:r>
    </w:p>
    <w:p w14:paraId="6D7BE11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六、遗物信息</w:t>
      </w:r>
      <w:r>
        <w:rPr>
          <w:rFonts w:hint="eastAsia" w:ascii="仿宋_GB2312" w:hAnsi="仿宋_GB2312" w:eastAsia="仿宋_GB2312" w:cs="仿宋_GB2312"/>
          <w:b/>
          <w:bCs/>
          <w:color w:val="auto"/>
          <w:kern w:val="0"/>
          <w:sz w:val="32"/>
          <w:szCs w:val="32"/>
          <w:lang w:val="en-US" w:eastAsia="zh-CN" w:bidi="ar"/>
        </w:rPr>
        <w:tab/>
      </w:r>
    </w:p>
    <w:p w14:paraId="45D1C72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遗物清单：（另附）</w:t>
      </w:r>
    </w:p>
    <w:p w14:paraId="13D233E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遗物认领情况：</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 已认领 □ 未认领 □ 待确认</w:t>
      </w:r>
    </w:p>
    <w:p w14:paraId="2A7B54B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七、备注</w:t>
      </w:r>
      <w:r>
        <w:rPr>
          <w:rFonts w:hint="eastAsia" w:ascii="仿宋_GB2312" w:hAnsi="仿宋_GB2312" w:eastAsia="仿宋_GB2312" w:cs="仿宋_GB2312"/>
          <w:color w:val="auto"/>
          <w:kern w:val="0"/>
          <w:sz w:val="32"/>
          <w:szCs w:val="32"/>
          <w:lang w:val="en-US" w:eastAsia="zh-CN" w:bidi="ar"/>
        </w:rPr>
        <w:tab/>
      </w:r>
    </w:p>
    <w:p w14:paraId="12FAE12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登记人： ________________ </w:t>
      </w:r>
    </w:p>
    <w:p w14:paraId="6C106C3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登记日期：    年    月    日</w:t>
      </w:r>
    </w:p>
    <w:p w14:paraId="742B19D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审核人： ________________</w:t>
      </w:r>
    </w:p>
    <w:p w14:paraId="677D559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审核日期：    年    月    日</w:t>
      </w:r>
    </w:p>
    <w:p w14:paraId="52CF2B9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p>
    <w:p w14:paraId="055B8D7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p>
    <w:p w14:paraId="69D220B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附件5</w:t>
      </w:r>
    </w:p>
    <w:p w14:paraId="0F9CB378">
      <w:pPr>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死亡患者遗体交接</w:t>
      </w:r>
      <w:r>
        <w:rPr>
          <w:rFonts w:hint="eastAsia" w:ascii="方正小标宋简体" w:hAnsi="方正小标宋简体" w:eastAsia="方正小标宋简体" w:cs="方正小标宋简体"/>
          <w:color w:val="auto"/>
          <w:sz w:val="44"/>
          <w:szCs w:val="44"/>
          <w:lang w:eastAsia="zh-CN"/>
        </w:rPr>
        <w:t>确认</w:t>
      </w:r>
      <w:r>
        <w:rPr>
          <w:rFonts w:hint="eastAsia" w:ascii="方正小标宋简体" w:hAnsi="方正小标宋简体" w:eastAsia="方正小标宋简体" w:cs="方正小标宋简体"/>
          <w:color w:val="auto"/>
          <w:sz w:val="44"/>
          <w:szCs w:val="44"/>
        </w:rPr>
        <w:t>单</w:t>
      </w:r>
    </w:p>
    <w:p w14:paraId="59FF254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编号：</w:t>
      </w:r>
    </w:p>
    <w:tbl>
      <w:tblPr>
        <w:tblStyle w:val="7"/>
        <w:tblW w:w="497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3"/>
        <w:gridCol w:w="2849"/>
        <w:gridCol w:w="3635"/>
      </w:tblGrid>
      <w:tr w14:paraId="702EA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360" w:type="pct"/>
            <w:vMerge w:val="restart"/>
            <w:vAlign w:val="center"/>
          </w:tcPr>
          <w:p w14:paraId="04003E2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接运车辆情况</w:t>
            </w:r>
          </w:p>
        </w:tc>
        <w:tc>
          <w:tcPr>
            <w:tcW w:w="3639" w:type="pct"/>
            <w:gridSpan w:val="2"/>
            <w:vAlign w:val="center"/>
          </w:tcPr>
          <w:p w14:paraId="229F0C5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派车单位：</w:t>
            </w:r>
          </w:p>
        </w:tc>
      </w:tr>
      <w:tr w14:paraId="531F8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360" w:type="pct"/>
            <w:vMerge w:val="continue"/>
            <w:vAlign w:val="center"/>
          </w:tcPr>
          <w:p w14:paraId="6676C08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p>
        </w:tc>
        <w:tc>
          <w:tcPr>
            <w:tcW w:w="3639" w:type="pct"/>
            <w:gridSpan w:val="2"/>
            <w:vAlign w:val="center"/>
          </w:tcPr>
          <w:p w14:paraId="1E32840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车牌号：</w:t>
            </w:r>
          </w:p>
        </w:tc>
      </w:tr>
      <w:tr w14:paraId="35EBE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360" w:type="pct"/>
            <w:vMerge w:val="restart"/>
            <w:vAlign w:val="center"/>
          </w:tcPr>
          <w:p w14:paraId="5D26998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接运人员情况</w:t>
            </w:r>
          </w:p>
        </w:tc>
        <w:tc>
          <w:tcPr>
            <w:tcW w:w="1599" w:type="pct"/>
            <w:vMerge w:val="restart"/>
            <w:vAlign w:val="center"/>
          </w:tcPr>
          <w:p w14:paraId="05E7591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接运人姓名及单位</w:t>
            </w:r>
          </w:p>
        </w:tc>
        <w:tc>
          <w:tcPr>
            <w:tcW w:w="2040" w:type="pct"/>
            <w:vAlign w:val="center"/>
          </w:tcPr>
          <w:p w14:paraId="6AB6E8B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p>
        </w:tc>
      </w:tr>
      <w:tr w14:paraId="03CEA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360" w:type="pct"/>
            <w:vMerge w:val="continue"/>
            <w:vAlign w:val="center"/>
          </w:tcPr>
          <w:p w14:paraId="0793D8A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p>
        </w:tc>
        <w:tc>
          <w:tcPr>
            <w:tcW w:w="1599" w:type="pct"/>
            <w:vMerge w:val="continue"/>
            <w:vAlign w:val="center"/>
          </w:tcPr>
          <w:p w14:paraId="18C281A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p>
        </w:tc>
        <w:tc>
          <w:tcPr>
            <w:tcW w:w="2040" w:type="pct"/>
            <w:vAlign w:val="center"/>
          </w:tcPr>
          <w:p w14:paraId="6E797D7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p>
        </w:tc>
      </w:tr>
      <w:tr w14:paraId="424C4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360" w:type="pct"/>
            <w:vMerge w:val="restart"/>
            <w:vAlign w:val="center"/>
          </w:tcPr>
          <w:p w14:paraId="2C95B3C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移交人员情况</w:t>
            </w:r>
          </w:p>
        </w:tc>
        <w:tc>
          <w:tcPr>
            <w:tcW w:w="3639" w:type="pct"/>
            <w:gridSpan w:val="2"/>
            <w:vAlign w:val="center"/>
          </w:tcPr>
          <w:p w14:paraId="3857721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逝者姓名：</w:t>
            </w:r>
          </w:p>
        </w:tc>
      </w:tr>
      <w:tr w14:paraId="737BD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360" w:type="pct"/>
            <w:vMerge w:val="continue"/>
            <w:vAlign w:val="center"/>
          </w:tcPr>
          <w:p w14:paraId="60C4555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p>
        </w:tc>
        <w:tc>
          <w:tcPr>
            <w:tcW w:w="3639" w:type="pct"/>
            <w:gridSpan w:val="2"/>
            <w:vAlign w:val="center"/>
          </w:tcPr>
          <w:p w14:paraId="54207B7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身份证号：</w:t>
            </w:r>
          </w:p>
        </w:tc>
      </w:tr>
      <w:tr w14:paraId="13116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360" w:type="pct"/>
            <w:vMerge w:val="continue"/>
            <w:vAlign w:val="center"/>
          </w:tcPr>
          <w:p w14:paraId="12CF1BB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p>
        </w:tc>
        <w:tc>
          <w:tcPr>
            <w:tcW w:w="3639" w:type="pct"/>
            <w:gridSpan w:val="2"/>
            <w:vAlign w:val="center"/>
          </w:tcPr>
          <w:p w14:paraId="2343A80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家庭住址：</w:t>
            </w:r>
          </w:p>
        </w:tc>
      </w:tr>
      <w:tr w14:paraId="53A4A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360" w:type="pct"/>
            <w:vMerge w:val="continue"/>
            <w:vAlign w:val="center"/>
          </w:tcPr>
          <w:p w14:paraId="3031994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p>
        </w:tc>
        <w:tc>
          <w:tcPr>
            <w:tcW w:w="3639" w:type="pct"/>
            <w:gridSpan w:val="2"/>
            <w:vAlign w:val="center"/>
          </w:tcPr>
          <w:p w14:paraId="365B8DE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移交时间：</w:t>
            </w:r>
          </w:p>
        </w:tc>
      </w:tr>
      <w:tr w14:paraId="3D90E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1360" w:type="pct"/>
            <w:vMerge w:val="restart"/>
            <w:vAlign w:val="center"/>
          </w:tcPr>
          <w:p w14:paraId="2C60740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遗体情况</w:t>
            </w:r>
          </w:p>
        </w:tc>
        <w:tc>
          <w:tcPr>
            <w:tcW w:w="3639" w:type="pct"/>
            <w:gridSpan w:val="2"/>
            <w:vAlign w:val="center"/>
          </w:tcPr>
          <w:p w14:paraId="6D9E547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遗体编号：</w:t>
            </w:r>
          </w:p>
        </w:tc>
      </w:tr>
      <w:tr w14:paraId="7109C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1360" w:type="pct"/>
            <w:vMerge w:val="continue"/>
            <w:vAlign w:val="center"/>
          </w:tcPr>
          <w:p w14:paraId="31624B7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p>
        </w:tc>
        <w:tc>
          <w:tcPr>
            <w:tcW w:w="3639" w:type="pct"/>
            <w:gridSpan w:val="2"/>
            <w:vAlign w:val="center"/>
          </w:tcPr>
          <w:p w14:paraId="6584F53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遗体状况：</w:t>
            </w:r>
          </w:p>
        </w:tc>
      </w:tr>
      <w:tr w14:paraId="65BB1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360" w:type="pct"/>
            <w:vAlign w:val="center"/>
          </w:tcPr>
          <w:p w14:paraId="7B9DCCE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移交人员签字(丧属）</w:t>
            </w:r>
          </w:p>
        </w:tc>
        <w:tc>
          <w:tcPr>
            <w:tcW w:w="3639" w:type="pct"/>
            <w:gridSpan w:val="2"/>
            <w:vAlign w:val="center"/>
          </w:tcPr>
          <w:p w14:paraId="7B54A94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年   月   日    </w:t>
            </w:r>
          </w:p>
        </w:tc>
      </w:tr>
      <w:tr w14:paraId="2E61F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360" w:type="pct"/>
            <w:vAlign w:val="center"/>
          </w:tcPr>
          <w:p w14:paraId="1506809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丧属电话号码</w:t>
            </w:r>
          </w:p>
        </w:tc>
        <w:tc>
          <w:tcPr>
            <w:tcW w:w="3639" w:type="pct"/>
            <w:gridSpan w:val="2"/>
            <w:vAlign w:val="center"/>
          </w:tcPr>
          <w:p w14:paraId="73D6959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p>
        </w:tc>
      </w:tr>
      <w:tr w14:paraId="0A4E0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360" w:type="pct"/>
            <w:vAlign w:val="center"/>
          </w:tcPr>
          <w:p w14:paraId="51F5EB2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接运人员签字</w:t>
            </w:r>
          </w:p>
        </w:tc>
        <w:tc>
          <w:tcPr>
            <w:tcW w:w="3639" w:type="pct"/>
            <w:gridSpan w:val="2"/>
            <w:vAlign w:val="center"/>
          </w:tcPr>
          <w:p w14:paraId="6152847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年   月   日    </w:t>
            </w:r>
          </w:p>
        </w:tc>
      </w:tr>
    </w:tbl>
    <w:p w14:paraId="36ACB5C9">
      <w:pPr>
        <w:jc w:val="both"/>
        <w:rPr>
          <w:rFonts w:hint="eastAsia" w:ascii="方正小标宋简体" w:hAnsi="方正小标宋简体" w:eastAsia="方正小标宋简体" w:cs="方正小标宋简体"/>
          <w:color w:val="auto"/>
          <w:sz w:val="44"/>
          <w:szCs w:val="44"/>
          <w:lang w:val="en-US" w:eastAsia="zh-CN"/>
        </w:rPr>
        <w:sectPr>
          <w:footerReference r:id="rId3" w:type="default"/>
          <w:pgSz w:w="11906" w:h="16838"/>
          <w:pgMar w:top="1984" w:right="1587" w:bottom="1587" w:left="1587" w:header="851" w:footer="992" w:gutter="0"/>
          <w:pgNumType w:fmt="decimal"/>
          <w:cols w:space="425" w:num="1"/>
          <w:docGrid w:type="lines" w:linePitch="312" w:charSpace="0"/>
        </w:sectPr>
      </w:pPr>
    </w:p>
    <w:p w14:paraId="4B34F2A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附件6                      </w:t>
      </w:r>
    </w:p>
    <w:p w14:paraId="2C61E2F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遗体存放登记台账</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4"/>
        <w:gridCol w:w="1860"/>
        <w:gridCol w:w="1081"/>
        <w:gridCol w:w="1072"/>
        <w:gridCol w:w="1568"/>
        <w:gridCol w:w="1529"/>
        <w:gridCol w:w="1482"/>
        <w:gridCol w:w="1468"/>
        <w:gridCol w:w="1222"/>
        <w:gridCol w:w="1222"/>
      </w:tblGrid>
      <w:tr w14:paraId="5D9F0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dxa"/>
            <w:vAlign w:val="center"/>
          </w:tcPr>
          <w:p w14:paraId="5FF28884">
            <w:pPr>
              <w:jc w:val="center"/>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序号</w:t>
            </w:r>
          </w:p>
        </w:tc>
        <w:tc>
          <w:tcPr>
            <w:tcW w:w="1860" w:type="dxa"/>
          </w:tcPr>
          <w:p w14:paraId="7A65BB30">
            <w:pPr>
              <w:jc w:val="center"/>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遗体</w:t>
            </w:r>
          </w:p>
          <w:p w14:paraId="2DC14E06">
            <w:pPr>
              <w:jc w:val="center"/>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编号</w:t>
            </w:r>
          </w:p>
        </w:tc>
        <w:tc>
          <w:tcPr>
            <w:tcW w:w="1081" w:type="dxa"/>
            <w:vAlign w:val="center"/>
          </w:tcPr>
          <w:p w14:paraId="169EB5E0">
            <w:pPr>
              <w:jc w:val="center"/>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姓名</w:t>
            </w:r>
          </w:p>
        </w:tc>
        <w:tc>
          <w:tcPr>
            <w:tcW w:w="1072" w:type="dxa"/>
            <w:vAlign w:val="center"/>
          </w:tcPr>
          <w:p w14:paraId="288FFB37">
            <w:pPr>
              <w:jc w:val="center"/>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性别</w:t>
            </w:r>
          </w:p>
        </w:tc>
        <w:tc>
          <w:tcPr>
            <w:tcW w:w="1568" w:type="dxa"/>
          </w:tcPr>
          <w:p w14:paraId="01C894C8">
            <w:pPr>
              <w:jc w:val="center"/>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存入</w:t>
            </w:r>
          </w:p>
          <w:p w14:paraId="20070DF4">
            <w:pPr>
              <w:jc w:val="center"/>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时间</w:t>
            </w:r>
          </w:p>
        </w:tc>
        <w:tc>
          <w:tcPr>
            <w:tcW w:w="1529" w:type="dxa"/>
          </w:tcPr>
          <w:p w14:paraId="2E3C3555">
            <w:pPr>
              <w:jc w:val="center"/>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存放</w:t>
            </w:r>
          </w:p>
          <w:p w14:paraId="1BD05248">
            <w:pPr>
              <w:jc w:val="center"/>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位置</w:t>
            </w:r>
          </w:p>
        </w:tc>
        <w:tc>
          <w:tcPr>
            <w:tcW w:w="1482" w:type="dxa"/>
          </w:tcPr>
          <w:p w14:paraId="0DD3B3FF">
            <w:pPr>
              <w:jc w:val="center"/>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遗体</w:t>
            </w:r>
          </w:p>
          <w:p w14:paraId="06EDAEA3">
            <w:pPr>
              <w:jc w:val="center"/>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状况</w:t>
            </w:r>
          </w:p>
        </w:tc>
        <w:tc>
          <w:tcPr>
            <w:tcW w:w="1468" w:type="dxa"/>
          </w:tcPr>
          <w:p w14:paraId="758F43D1">
            <w:pPr>
              <w:jc w:val="center"/>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移交</w:t>
            </w:r>
          </w:p>
          <w:p w14:paraId="5C585578">
            <w:pPr>
              <w:jc w:val="center"/>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单位</w:t>
            </w:r>
          </w:p>
        </w:tc>
        <w:tc>
          <w:tcPr>
            <w:tcW w:w="1222" w:type="dxa"/>
            <w:vAlign w:val="center"/>
          </w:tcPr>
          <w:p w14:paraId="47CAB609">
            <w:pPr>
              <w:jc w:val="center"/>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经手人</w:t>
            </w:r>
          </w:p>
        </w:tc>
        <w:tc>
          <w:tcPr>
            <w:tcW w:w="1222" w:type="dxa"/>
            <w:vAlign w:val="center"/>
          </w:tcPr>
          <w:p w14:paraId="03E075FB">
            <w:pPr>
              <w:jc w:val="center"/>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备注</w:t>
            </w:r>
          </w:p>
        </w:tc>
      </w:tr>
      <w:tr w14:paraId="2A2AD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dxa"/>
          </w:tcPr>
          <w:p w14:paraId="10924AD6">
            <w:pPr>
              <w:jc w:val="center"/>
              <w:rPr>
                <w:rFonts w:hint="eastAsia" w:ascii="仿宋_GB2312" w:hAnsi="仿宋_GB2312" w:eastAsia="仿宋_GB2312" w:cs="仿宋_GB2312"/>
                <w:color w:val="auto"/>
                <w:kern w:val="0"/>
                <w:sz w:val="32"/>
                <w:szCs w:val="32"/>
                <w:lang w:val="en-US" w:eastAsia="zh-CN" w:bidi="ar"/>
              </w:rPr>
            </w:pPr>
          </w:p>
        </w:tc>
        <w:tc>
          <w:tcPr>
            <w:tcW w:w="1860" w:type="dxa"/>
          </w:tcPr>
          <w:p w14:paraId="16A2BA44">
            <w:pPr>
              <w:jc w:val="center"/>
              <w:rPr>
                <w:rFonts w:hint="eastAsia" w:ascii="仿宋_GB2312" w:hAnsi="仿宋_GB2312" w:eastAsia="仿宋_GB2312" w:cs="仿宋_GB2312"/>
                <w:color w:val="auto"/>
                <w:kern w:val="0"/>
                <w:sz w:val="32"/>
                <w:szCs w:val="32"/>
                <w:lang w:val="en-US" w:eastAsia="zh-CN" w:bidi="ar"/>
              </w:rPr>
            </w:pPr>
          </w:p>
        </w:tc>
        <w:tc>
          <w:tcPr>
            <w:tcW w:w="1081" w:type="dxa"/>
          </w:tcPr>
          <w:p w14:paraId="73370251">
            <w:pPr>
              <w:jc w:val="center"/>
              <w:rPr>
                <w:rFonts w:hint="eastAsia" w:ascii="仿宋_GB2312" w:hAnsi="仿宋_GB2312" w:eastAsia="仿宋_GB2312" w:cs="仿宋_GB2312"/>
                <w:color w:val="auto"/>
                <w:kern w:val="0"/>
                <w:sz w:val="32"/>
                <w:szCs w:val="32"/>
                <w:lang w:val="en-US" w:eastAsia="zh-CN" w:bidi="ar"/>
              </w:rPr>
            </w:pPr>
          </w:p>
        </w:tc>
        <w:tc>
          <w:tcPr>
            <w:tcW w:w="1072" w:type="dxa"/>
          </w:tcPr>
          <w:p w14:paraId="0B9648DE">
            <w:pPr>
              <w:jc w:val="center"/>
              <w:rPr>
                <w:rFonts w:hint="eastAsia" w:ascii="仿宋_GB2312" w:hAnsi="仿宋_GB2312" w:eastAsia="仿宋_GB2312" w:cs="仿宋_GB2312"/>
                <w:color w:val="auto"/>
                <w:kern w:val="0"/>
                <w:sz w:val="32"/>
                <w:szCs w:val="32"/>
                <w:lang w:val="en-US" w:eastAsia="zh-CN" w:bidi="ar"/>
              </w:rPr>
            </w:pPr>
          </w:p>
        </w:tc>
        <w:tc>
          <w:tcPr>
            <w:tcW w:w="1568" w:type="dxa"/>
          </w:tcPr>
          <w:p w14:paraId="2F82707C">
            <w:pPr>
              <w:jc w:val="center"/>
              <w:rPr>
                <w:rFonts w:hint="eastAsia" w:ascii="仿宋_GB2312" w:hAnsi="仿宋_GB2312" w:eastAsia="仿宋_GB2312" w:cs="仿宋_GB2312"/>
                <w:color w:val="auto"/>
                <w:kern w:val="0"/>
                <w:sz w:val="32"/>
                <w:szCs w:val="32"/>
                <w:lang w:val="en-US" w:eastAsia="zh-CN" w:bidi="ar"/>
              </w:rPr>
            </w:pPr>
          </w:p>
        </w:tc>
        <w:tc>
          <w:tcPr>
            <w:tcW w:w="1529" w:type="dxa"/>
          </w:tcPr>
          <w:p w14:paraId="33432268">
            <w:pPr>
              <w:jc w:val="center"/>
              <w:rPr>
                <w:rFonts w:hint="eastAsia" w:ascii="仿宋_GB2312" w:hAnsi="仿宋_GB2312" w:eastAsia="仿宋_GB2312" w:cs="仿宋_GB2312"/>
                <w:color w:val="auto"/>
                <w:kern w:val="0"/>
                <w:sz w:val="32"/>
                <w:szCs w:val="32"/>
                <w:lang w:val="en-US" w:eastAsia="zh-CN" w:bidi="ar"/>
              </w:rPr>
            </w:pPr>
          </w:p>
        </w:tc>
        <w:tc>
          <w:tcPr>
            <w:tcW w:w="1482" w:type="dxa"/>
          </w:tcPr>
          <w:p w14:paraId="73AF6F41">
            <w:pPr>
              <w:jc w:val="center"/>
              <w:rPr>
                <w:rFonts w:hint="eastAsia" w:ascii="仿宋_GB2312" w:hAnsi="仿宋_GB2312" w:eastAsia="仿宋_GB2312" w:cs="仿宋_GB2312"/>
                <w:color w:val="auto"/>
                <w:kern w:val="0"/>
                <w:sz w:val="32"/>
                <w:szCs w:val="32"/>
                <w:lang w:val="en-US" w:eastAsia="zh-CN" w:bidi="ar"/>
              </w:rPr>
            </w:pPr>
          </w:p>
        </w:tc>
        <w:tc>
          <w:tcPr>
            <w:tcW w:w="1468" w:type="dxa"/>
          </w:tcPr>
          <w:p w14:paraId="1CD4F59D">
            <w:pPr>
              <w:jc w:val="center"/>
              <w:rPr>
                <w:rFonts w:hint="eastAsia" w:ascii="仿宋_GB2312" w:hAnsi="仿宋_GB2312" w:eastAsia="仿宋_GB2312" w:cs="仿宋_GB2312"/>
                <w:color w:val="auto"/>
                <w:kern w:val="0"/>
                <w:sz w:val="32"/>
                <w:szCs w:val="32"/>
                <w:lang w:val="en-US" w:eastAsia="zh-CN" w:bidi="ar"/>
              </w:rPr>
            </w:pPr>
          </w:p>
        </w:tc>
        <w:tc>
          <w:tcPr>
            <w:tcW w:w="1222" w:type="dxa"/>
          </w:tcPr>
          <w:p w14:paraId="5A4C0925">
            <w:pPr>
              <w:jc w:val="center"/>
              <w:rPr>
                <w:rFonts w:hint="eastAsia" w:ascii="仿宋_GB2312" w:hAnsi="仿宋_GB2312" w:eastAsia="仿宋_GB2312" w:cs="仿宋_GB2312"/>
                <w:color w:val="auto"/>
                <w:kern w:val="0"/>
                <w:sz w:val="32"/>
                <w:szCs w:val="32"/>
                <w:lang w:val="en-US" w:eastAsia="zh-CN" w:bidi="ar"/>
              </w:rPr>
            </w:pPr>
          </w:p>
        </w:tc>
        <w:tc>
          <w:tcPr>
            <w:tcW w:w="1222" w:type="dxa"/>
          </w:tcPr>
          <w:p w14:paraId="72C2EA37">
            <w:pPr>
              <w:jc w:val="center"/>
              <w:rPr>
                <w:rFonts w:hint="eastAsia" w:ascii="仿宋_GB2312" w:hAnsi="仿宋_GB2312" w:eastAsia="仿宋_GB2312" w:cs="仿宋_GB2312"/>
                <w:color w:val="auto"/>
                <w:kern w:val="0"/>
                <w:sz w:val="32"/>
                <w:szCs w:val="32"/>
                <w:lang w:val="en-US" w:eastAsia="zh-CN" w:bidi="ar"/>
              </w:rPr>
            </w:pPr>
          </w:p>
        </w:tc>
      </w:tr>
      <w:tr w14:paraId="01FB9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dxa"/>
          </w:tcPr>
          <w:p w14:paraId="09E594F4">
            <w:pPr>
              <w:jc w:val="center"/>
              <w:rPr>
                <w:rFonts w:hint="eastAsia" w:ascii="仿宋_GB2312" w:hAnsi="仿宋_GB2312" w:eastAsia="仿宋_GB2312" w:cs="仿宋_GB2312"/>
                <w:color w:val="auto"/>
                <w:kern w:val="0"/>
                <w:sz w:val="32"/>
                <w:szCs w:val="32"/>
                <w:lang w:val="en-US" w:eastAsia="zh-CN" w:bidi="ar"/>
              </w:rPr>
            </w:pPr>
          </w:p>
        </w:tc>
        <w:tc>
          <w:tcPr>
            <w:tcW w:w="1860" w:type="dxa"/>
          </w:tcPr>
          <w:p w14:paraId="213BE991">
            <w:pPr>
              <w:jc w:val="center"/>
              <w:rPr>
                <w:rFonts w:hint="eastAsia" w:ascii="仿宋_GB2312" w:hAnsi="仿宋_GB2312" w:eastAsia="仿宋_GB2312" w:cs="仿宋_GB2312"/>
                <w:color w:val="auto"/>
                <w:kern w:val="0"/>
                <w:sz w:val="32"/>
                <w:szCs w:val="32"/>
                <w:lang w:val="en-US" w:eastAsia="zh-CN" w:bidi="ar"/>
              </w:rPr>
            </w:pPr>
          </w:p>
        </w:tc>
        <w:tc>
          <w:tcPr>
            <w:tcW w:w="1081" w:type="dxa"/>
          </w:tcPr>
          <w:p w14:paraId="10E9ACF5">
            <w:pPr>
              <w:jc w:val="center"/>
              <w:rPr>
                <w:rFonts w:hint="eastAsia" w:ascii="仿宋_GB2312" w:hAnsi="仿宋_GB2312" w:eastAsia="仿宋_GB2312" w:cs="仿宋_GB2312"/>
                <w:color w:val="auto"/>
                <w:kern w:val="0"/>
                <w:sz w:val="32"/>
                <w:szCs w:val="32"/>
                <w:lang w:val="en-US" w:eastAsia="zh-CN" w:bidi="ar"/>
              </w:rPr>
            </w:pPr>
          </w:p>
        </w:tc>
        <w:tc>
          <w:tcPr>
            <w:tcW w:w="1072" w:type="dxa"/>
          </w:tcPr>
          <w:p w14:paraId="042883E8">
            <w:pPr>
              <w:jc w:val="center"/>
              <w:rPr>
                <w:rFonts w:hint="eastAsia" w:ascii="仿宋_GB2312" w:hAnsi="仿宋_GB2312" w:eastAsia="仿宋_GB2312" w:cs="仿宋_GB2312"/>
                <w:color w:val="auto"/>
                <w:kern w:val="0"/>
                <w:sz w:val="32"/>
                <w:szCs w:val="32"/>
                <w:lang w:val="en-US" w:eastAsia="zh-CN" w:bidi="ar"/>
              </w:rPr>
            </w:pPr>
          </w:p>
        </w:tc>
        <w:tc>
          <w:tcPr>
            <w:tcW w:w="1568" w:type="dxa"/>
          </w:tcPr>
          <w:p w14:paraId="2A39F289">
            <w:pPr>
              <w:jc w:val="center"/>
              <w:rPr>
                <w:rFonts w:hint="eastAsia" w:ascii="仿宋_GB2312" w:hAnsi="仿宋_GB2312" w:eastAsia="仿宋_GB2312" w:cs="仿宋_GB2312"/>
                <w:color w:val="auto"/>
                <w:kern w:val="0"/>
                <w:sz w:val="32"/>
                <w:szCs w:val="32"/>
                <w:lang w:val="en-US" w:eastAsia="zh-CN" w:bidi="ar"/>
              </w:rPr>
            </w:pPr>
          </w:p>
        </w:tc>
        <w:tc>
          <w:tcPr>
            <w:tcW w:w="1529" w:type="dxa"/>
          </w:tcPr>
          <w:p w14:paraId="24946092">
            <w:pPr>
              <w:jc w:val="center"/>
              <w:rPr>
                <w:rFonts w:hint="eastAsia" w:ascii="仿宋_GB2312" w:hAnsi="仿宋_GB2312" w:eastAsia="仿宋_GB2312" w:cs="仿宋_GB2312"/>
                <w:color w:val="auto"/>
                <w:kern w:val="0"/>
                <w:sz w:val="32"/>
                <w:szCs w:val="32"/>
                <w:lang w:val="en-US" w:eastAsia="zh-CN" w:bidi="ar"/>
              </w:rPr>
            </w:pPr>
          </w:p>
        </w:tc>
        <w:tc>
          <w:tcPr>
            <w:tcW w:w="1482" w:type="dxa"/>
          </w:tcPr>
          <w:p w14:paraId="534F4488">
            <w:pPr>
              <w:jc w:val="center"/>
              <w:rPr>
                <w:rFonts w:hint="eastAsia" w:ascii="仿宋_GB2312" w:hAnsi="仿宋_GB2312" w:eastAsia="仿宋_GB2312" w:cs="仿宋_GB2312"/>
                <w:color w:val="auto"/>
                <w:kern w:val="0"/>
                <w:sz w:val="32"/>
                <w:szCs w:val="32"/>
                <w:lang w:val="en-US" w:eastAsia="zh-CN" w:bidi="ar"/>
              </w:rPr>
            </w:pPr>
          </w:p>
        </w:tc>
        <w:tc>
          <w:tcPr>
            <w:tcW w:w="1468" w:type="dxa"/>
          </w:tcPr>
          <w:p w14:paraId="2DAB204C">
            <w:pPr>
              <w:jc w:val="center"/>
              <w:rPr>
                <w:rFonts w:hint="eastAsia" w:ascii="仿宋_GB2312" w:hAnsi="仿宋_GB2312" w:eastAsia="仿宋_GB2312" w:cs="仿宋_GB2312"/>
                <w:color w:val="auto"/>
                <w:kern w:val="0"/>
                <w:sz w:val="32"/>
                <w:szCs w:val="32"/>
                <w:lang w:val="en-US" w:eastAsia="zh-CN" w:bidi="ar"/>
              </w:rPr>
            </w:pPr>
          </w:p>
        </w:tc>
        <w:tc>
          <w:tcPr>
            <w:tcW w:w="1222" w:type="dxa"/>
          </w:tcPr>
          <w:p w14:paraId="207EA4FD">
            <w:pPr>
              <w:jc w:val="center"/>
              <w:rPr>
                <w:rFonts w:hint="eastAsia" w:ascii="仿宋_GB2312" w:hAnsi="仿宋_GB2312" w:eastAsia="仿宋_GB2312" w:cs="仿宋_GB2312"/>
                <w:color w:val="auto"/>
                <w:kern w:val="0"/>
                <w:sz w:val="32"/>
                <w:szCs w:val="32"/>
                <w:lang w:val="en-US" w:eastAsia="zh-CN" w:bidi="ar"/>
              </w:rPr>
            </w:pPr>
          </w:p>
        </w:tc>
        <w:tc>
          <w:tcPr>
            <w:tcW w:w="1222" w:type="dxa"/>
          </w:tcPr>
          <w:p w14:paraId="563F5DB6">
            <w:pPr>
              <w:jc w:val="center"/>
              <w:rPr>
                <w:rFonts w:hint="eastAsia" w:ascii="仿宋_GB2312" w:hAnsi="仿宋_GB2312" w:eastAsia="仿宋_GB2312" w:cs="仿宋_GB2312"/>
                <w:color w:val="auto"/>
                <w:kern w:val="0"/>
                <w:sz w:val="32"/>
                <w:szCs w:val="32"/>
                <w:lang w:val="en-US" w:eastAsia="zh-CN" w:bidi="ar"/>
              </w:rPr>
            </w:pPr>
          </w:p>
        </w:tc>
      </w:tr>
      <w:tr w14:paraId="0ACB0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74" w:type="dxa"/>
          </w:tcPr>
          <w:p w14:paraId="738B7C5F">
            <w:pPr>
              <w:jc w:val="center"/>
              <w:rPr>
                <w:rFonts w:hint="eastAsia" w:ascii="仿宋_GB2312" w:hAnsi="仿宋_GB2312" w:eastAsia="仿宋_GB2312" w:cs="仿宋_GB2312"/>
                <w:color w:val="auto"/>
                <w:kern w:val="0"/>
                <w:sz w:val="32"/>
                <w:szCs w:val="32"/>
                <w:lang w:val="en-US" w:eastAsia="zh-CN" w:bidi="ar"/>
              </w:rPr>
            </w:pPr>
          </w:p>
        </w:tc>
        <w:tc>
          <w:tcPr>
            <w:tcW w:w="1860" w:type="dxa"/>
          </w:tcPr>
          <w:p w14:paraId="63A63DF3">
            <w:pPr>
              <w:jc w:val="center"/>
              <w:rPr>
                <w:rFonts w:hint="eastAsia" w:ascii="仿宋_GB2312" w:hAnsi="仿宋_GB2312" w:eastAsia="仿宋_GB2312" w:cs="仿宋_GB2312"/>
                <w:color w:val="auto"/>
                <w:kern w:val="0"/>
                <w:sz w:val="32"/>
                <w:szCs w:val="32"/>
                <w:lang w:val="en-US" w:eastAsia="zh-CN" w:bidi="ar"/>
              </w:rPr>
            </w:pPr>
          </w:p>
        </w:tc>
        <w:tc>
          <w:tcPr>
            <w:tcW w:w="1081" w:type="dxa"/>
          </w:tcPr>
          <w:p w14:paraId="0EFF5AD4">
            <w:pPr>
              <w:jc w:val="center"/>
              <w:rPr>
                <w:rFonts w:hint="eastAsia" w:ascii="仿宋_GB2312" w:hAnsi="仿宋_GB2312" w:eastAsia="仿宋_GB2312" w:cs="仿宋_GB2312"/>
                <w:color w:val="auto"/>
                <w:kern w:val="0"/>
                <w:sz w:val="32"/>
                <w:szCs w:val="32"/>
                <w:lang w:val="en-US" w:eastAsia="zh-CN" w:bidi="ar"/>
              </w:rPr>
            </w:pPr>
          </w:p>
        </w:tc>
        <w:tc>
          <w:tcPr>
            <w:tcW w:w="1072" w:type="dxa"/>
          </w:tcPr>
          <w:p w14:paraId="0B796C21">
            <w:pPr>
              <w:jc w:val="center"/>
              <w:rPr>
                <w:rFonts w:hint="eastAsia" w:ascii="仿宋_GB2312" w:hAnsi="仿宋_GB2312" w:eastAsia="仿宋_GB2312" w:cs="仿宋_GB2312"/>
                <w:color w:val="auto"/>
                <w:kern w:val="0"/>
                <w:sz w:val="32"/>
                <w:szCs w:val="32"/>
                <w:lang w:val="en-US" w:eastAsia="zh-CN" w:bidi="ar"/>
              </w:rPr>
            </w:pPr>
          </w:p>
        </w:tc>
        <w:tc>
          <w:tcPr>
            <w:tcW w:w="1568" w:type="dxa"/>
          </w:tcPr>
          <w:p w14:paraId="3372DC73">
            <w:pPr>
              <w:jc w:val="center"/>
              <w:rPr>
                <w:rFonts w:hint="eastAsia" w:ascii="仿宋_GB2312" w:hAnsi="仿宋_GB2312" w:eastAsia="仿宋_GB2312" w:cs="仿宋_GB2312"/>
                <w:color w:val="auto"/>
                <w:kern w:val="0"/>
                <w:sz w:val="32"/>
                <w:szCs w:val="32"/>
                <w:lang w:val="en-US" w:eastAsia="zh-CN" w:bidi="ar"/>
              </w:rPr>
            </w:pPr>
          </w:p>
        </w:tc>
        <w:tc>
          <w:tcPr>
            <w:tcW w:w="1529" w:type="dxa"/>
          </w:tcPr>
          <w:p w14:paraId="6FD4AE0E">
            <w:pPr>
              <w:jc w:val="center"/>
              <w:rPr>
                <w:rFonts w:hint="eastAsia" w:ascii="仿宋_GB2312" w:hAnsi="仿宋_GB2312" w:eastAsia="仿宋_GB2312" w:cs="仿宋_GB2312"/>
                <w:color w:val="auto"/>
                <w:kern w:val="0"/>
                <w:sz w:val="32"/>
                <w:szCs w:val="32"/>
                <w:lang w:val="en-US" w:eastAsia="zh-CN" w:bidi="ar"/>
              </w:rPr>
            </w:pPr>
          </w:p>
        </w:tc>
        <w:tc>
          <w:tcPr>
            <w:tcW w:w="1482" w:type="dxa"/>
          </w:tcPr>
          <w:p w14:paraId="47611238">
            <w:pPr>
              <w:jc w:val="center"/>
              <w:rPr>
                <w:rFonts w:hint="eastAsia" w:ascii="仿宋_GB2312" w:hAnsi="仿宋_GB2312" w:eastAsia="仿宋_GB2312" w:cs="仿宋_GB2312"/>
                <w:color w:val="auto"/>
                <w:kern w:val="0"/>
                <w:sz w:val="32"/>
                <w:szCs w:val="32"/>
                <w:lang w:val="en-US" w:eastAsia="zh-CN" w:bidi="ar"/>
              </w:rPr>
            </w:pPr>
          </w:p>
        </w:tc>
        <w:tc>
          <w:tcPr>
            <w:tcW w:w="1468" w:type="dxa"/>
          </w:tcPr>
          <w:p w14:paraId="4C13EC9E">
            <w:pPr>
              <w:jc w:val="center"/>
              <w:rPr>
                <w:rFonts w:hint="eastAsia" w:ascii="仿宋_GB2312" w:hAnsi="仿宋_GB2312" w:eastAsia="仿宋_GB2312" w:cs="仿宋_GB2312"/>
                <w:color w:val="auto"/>
                <w:kern w:val="0"/>
                <w:sz w:val="32"/>
                <w:szCs w:val="32"/>
                <w:lang w:val="en-US" w:eastAsia="zh-CN" w:bidi="ar"/>
              </w:rPr>
            </w:pPr>
          </w:p>
        </w:tc>
        <w:tc>
          <w:tcPr>
            <w:tcW w:w="1222" w:type="dxa"/>
          </w:tcPr>
          <w:p w14:paraId="5BC6F7B9">
            <w:pPr>
              <w:jc w:val="center"/>
              <w:rPr>
                <w:rFonts w:hint="eastAsia" w:ascii="仿宋_GB2312" w:hAnsi="仿宋_GB2312" w:eastAsia="仿宋_GB2312" w:cs="仿宋_GB2312"/>
                <w:color w:val="auto"/>
                <w:kern w:val="0"/>
                <w:sz w:val="32"/>
                <w:szCs w:val="32"/>
                <w:lang w:val="en-US" w:eastAsia="zh-CN" w:bidi="ar"/>
              </w:rPr>
            </w:pPr>
          </w:p>
        </w:tc>
        <w:tc>
          <w:tcPr>
            <w:tcW w:w="1222" w:type="dxa"/>
          </w:tcPr>
          <w:p w14:paraId="393D8E14">
            <w:pPr>
              <w:jc w:val="center"/>
              <w:rPr>
                <w:rFonts w:hint="eastAsia" w:ascii="仿宋_GB2312" w:hAnsi="仿宋_GB2312" w:eastAsia="仿宋_GB2312" w:cs="仿宋_GB2312"/>
                <w:color w:val="auto"/>
                <w:kern w:val="0"/>
                <w:sz w:val="32"/>
                <w:szCs w:val="32"/>
                <w:lang w:val="en-US" w:eastAsia="zh-CN" w:bidi="ar"/>
              </w:rPr>
            </w:pPr>
          </w:p>
        </w:tc>
      </w:tr>
      <w:tr w14:paraId="2E264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dxa"/>
          </w:tcPr>
          <w:p w14:paraId="2D79FEA8">
            <w:pPr>
              <w:jc w:val="center"/>
              <w:rPr>
                <w:rFonts w:hint="eastAsia" w:ascii="仿宋_GB2312" w:hAnsi="仿宋_GB2312" w:eastAsia="仿宋_GB2312" w:cs="仿宋_GB2312"/>
                <w:color w:val="auto"/>
                <w:kern w:val="0"/>
                <w:sz w:val="32"/>
                <w:szCs w:val="32"/>
                <w:lang w:val="en-US" w:eastAsia="zh-CN" w:bidi="ar"/>
              </w:rPr>
            </w:pPr>
          </w:p>
        </w:tc>
        <w:tc>
          <w:tcPr>
            <w:tcW w:w="1860" w:type="dxa"/>
          </w:tcPr>
          <w:p w14:paraId="4C68A4F7">
            <w:pPr>
              <w:jc w:val="center"/>
              <w:rPr>
                <w:rFonts w:hint="eastAsia" w:ascii="仿宋_GB2312" w:hAnsi="仿宋_GB2312" w:eastAsia="仿宋_GB2312" w:cs="仿宋_GB2312"/>
                <w:color w:val="auto"/>
                <w:kern w:val="0"/>
                <w:sz w:val="32"/>
                <w:szCs w:val="32"/>
                <w:lang w:val="en-US" w:eastAsia="zh-CN" w:bidi="ar"/>
              </w:rPr>
            </w:pPr>
          </w:p>
        </w:tc>
        <w:tc>
          <w:tcPr>
            <w:tcW w:w="1081" w:type="dxa"/>
          </w:tcPr>
          <w:p w14:paraId="4C4B3155">
            <w:pPr>
              <w:jc w:val="center"/>
              <w:rPr>
                <w:rFonts w:hint="eastAsia" w:ascii="仿宋_GB2312" w:hAnsi="仿宋_GB2312" w:eastAsia="仿宋_GB2312" w:cs="仿宋_GB2312"/>
                <w:color w:val="auto"/>
                <w:kern w:val="0"/>
                <w:sz w:val="32"/>
                <w:szCs w:val="32"/>
                <w:lang w:val="en-US" w:eastAsia="zh-CN" w:bidi="ar"/>
              </w:rPr>
            </w:pPr>
          </w:p>
        </w:tc>
        <w:tc>
          <w:tcPr>
            <w:tcW w:w="1072" w:type="dxa"/>
          </w:tcPr>
          <w:p w14:paraId="1D8858F5">
            <w:pPr>
              <w:jc w:val="center"/>
              <w:rPr>
                <w:rFonts w:hint="eastAsia" w:ascii="仿宋_GB2312" w:hAnsi="仿宋_GB2312" w:eastAsia="仿宋_GB2312" w:cs="仿宋_GB2312"/>
                <w:color w:val="auto"/>
                <w:kern w:val="0"/>
                <w:sz w:val="32"/>
                <w:szCs w:val="32"/>
                <w:lang w:val="en-US" w:eastAsia="zh-CN" w:bidi="ar"/>
              </w:rPr>
            </w:pPr>
          </w:p>
        </w:tc>
        <w:tc>
          <w:tcPr>
            <w:tcW w:w="1568" w:type="dxa"/>
          </w:tcPr>
          <w:p w14:paraId="17C6E755">
            <w:pPr>
              <w:jc w:val="center"/>
              <w:rPr>
                <w:rFonts w:hint="eastAsia" w:ascii="仿宋_GB2312" w:hAnsi="仿宋_GB2312" w:eastAsia="仿宋_GB2312" w:cs="仿宋_GB2312"/>
                <w:color w:val="auto"/>
                <w:kern w:val="0"/>
                <w:sz w:val="32"/>
                <w:szCs w:val="32"/>
                <w:lang w:val="en-US" w:eastAsia="zh-CN" w:bidi="ar"/>
              </w:rPr>
            </w:pPr>
          </w:p>
        </w:tc>
        <w:tc>
          <w:tcPr>
            <w:tcW w:w="1529" w:type="dxa"/>
          </w:tcPr>
          <w:p w14:paraId="43C93071">
            <w:pPr>
              <w:jc w:val="center"/>
              <w:rPr>
                <w:rFonts w:hint="eastAsia" w:ascii="仿宋_GB2312" w:hAnsi="仿宋_GB2312" w:eastAsia="仿宋_GB2312" w:cs="仿宋_GB2312"/>
                <w:color w:val="auto"/>
                <w:kern w:val="0"/>
                <w:sz w:val="32"/>
                <w:szCs w:val="32"/>
                <w:lang w:val="en-US" w:eastAsia="zh-CN" w:bidi="ar"/>
              </w:rPr>
            </w:pPr>
          </w:p>
        </w:tc>
        <w:tc>
          <w:tcPr>
            <w:tcW w:w="1482" w:type="dxa"/>
          </w:tcPr>
          <w:p w14:paraId="5E20B4C5">
            <w:pPr>
              <w:jc w:val="center"/>
              <w:rPr>
                <w:rFonts w:hint="eastAsia" w:ascii="仿宋_GB2312" w:hAnsi="仿宋_GB2312" w:eastAsia="仿宋_GB2312" w:cs="仿宋_GB2312"/>
                <w:color w:val="auto"/>
                <w:kern w:val="0"/>
                <w:sz w:val="32"/>
                <w:szCs w:val="32"/>
                <w:lang w:val="en-US" w:eastAsia="zh-CN" w:bidi="ar"/>
              </w:rPr>
            </w:pPr>
          </w:p>
        </w:tc>
        <w:tc>
          <w:tcPr>
            <w:tcW w:w="1468" w:type="dxa"/>
          </w:tcPr>
          <w:p w14:paraId="75B77E4A">
            <w:pPr>
              <w:jc w:val="center"/>
              <w:rPr>
                <w:rFonts w:hint="eastAsia" w:ascii="仿宋_GB2312" w:hAnsi="仿宋_GB2312" w:eastAsia="仿宋_GB2312" w:cs="仿宋_GB2312"/>
                <w:color w:val="auto"/>
                <w:kern w:val="0"/>
                <w:sz w:val="32"/>
                <w:szCs w:val="32"/>
                <w:lang w:val="en-US" w:eastAsia="zh-CN" w:bidi="ar"/>
              </w:rPr>
            </w:pPr>
          </w:p>
        </w:tc>
        <w:tc>
          <w:tcPr>
            <w:tcW w:w="1222" w:type="dxa"/>
          </w:tcPr>
          <w:p w14:paraId="7B267332">
            <w:pPr>
              <w:jc w:val="center"/>
              <w:rPr>
                <w:rFonts w:hint="eastAsia" w:ascii="仿宋_GB2312" w:hAnsi="仿宋_GB2312" w:eastAsia="仿宋_GB2312" w:cs="仿宋_GB2312"/>
                <w:color w:val="auto"/>
                <w:kern w:val="0"/>
                <w:sz w:val="32"/>
                <w:szCs w:val="32"/>
                <w:lang w:val="en-US" w:eastAsia="zh-CN" w:bidi="ar"/>
              </w:rPr>
            </w:pPr>
          </w:p>
        </w:tc>
        <w:tc>
          <w:tcPr>
            <w:tcW w:w="1222" w:type="dxa"/>
          </w:tcPr>
          <w:p w14:paraId="5648DDAC">
            <w:pPr>
              <w:jc w:val="center"/>
              <w:rPr>
                <w:rFonts w:hint="eastAsia" w:ascii="仿宋_GB2312" w:hAnsi="仿宋_GB2312" w:eastAsia="仿宋_GB2312" w:cs="仿宋_GB2312"/>
                <w:color w:val="auto"/>
                <w:kern w:val="0"/>
                <w:sz w:val="32"/>
                <w:szCs w:val="32"/>
                <w:lang w:val="en-US" w:eastAsia="zh-CN" w:bidi="ar"/>
              </w:rPr>
            </w:pPr>
          </w:p>
        </w:tc>
      </w:tr>
      <w:tr w14:paraId="60D76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dxa"/>
          </w:tcPr>
          <w:p w14:paraId="4372B704">
            <w:pPr>
              <w:jc w:val="center"/>
              <w:rPr>
                <w:rFonts w:hint="eastAsia" w:ascii="仿宋_GB2312" w:hAnsi="仿宋_GB2312" w:eastAsia="仿宋_GB2312" w:cs="仿宋_GB2312"/>
                <w:color w:val="auto"/>
                <w:kern w:val="0"/>
                <w:sz w:val="32"/>
                <w:szCs w:val="32"/>
                <w:lang w:val="en-US" w:eastAsia="zh-CN" w:bidi="ar"/>
              </w:rPr>
            </w:pPr>
          </w:p>
        </w:tc>
        <w:tc>
          <w:tcPr>
            <w:tcW w:w="1860" w:type="dxa"/>
          </w:tcPr>
          <w:p w14:paraId="63905B43">
            <w:pPr>
              <w:jc w:val="center"/>
              <w:rPr>
                <w:rFonts w:hint="eastAsia" w:ascii="仿宋_GB2312" w:hAnsi="仿宋_GB2312" w:eastAsia="仿宋_GB2312" w:cs="仿宋_GB2312"/>
                <w:color w:val="auto"/>
                <w:kern w:val="0"/>
                <w:sz w:val="32"/>
                <w:szCs w:val="32"/>
                <w:lang w:val="en-US" w:eastAsia="zh-CN" w:bidi="ar"/>
              </w:rPr>
            </w:pPr>
          </w:p>
        </w:tc>
        <w:tc>
          <w:tcPr>
            <w:tcW w:w="1081" w:type="dxa"/>
          </w:tcPr>
          <w:p w14:paraId="61827778">
            <w:pPr>
              <w:jc w:val="center"/>
              <w:rPr>
                <w:rFonts w:hint="eastAsia" w:ascii="仿宋_GB2312" w:hAnsi="仿宋_GB2312" w:eastAsia="仿宋_GB2312" w:cs="仿宋_GB2312"/>
                <w:color w:val="auto"/>
                <w:kern w:val="0"/>
                <w:sz w:val="32"/>
                <w:szCs w:val="32"/>
                <w:lang w:val="en-US" w:eastAsia="zh-CN" w:bidi="ar"/>
              </w:rPr>
            </w:pPr>
          </w:p>
        </w:tc>
        <w:tc>
          <w:tcPr>
            <w:tcW w:w="1072" w:type="dxa"/>
          </w:tcPr>
          <w:p w14:paraId="25AEED4E">
            <w:pPr>
              <w:jc w:val="center"/>
              <w:rPr>
                <w:rFonts w:hint="eastAsia" w:ascii="仿宋_GB2312" w:hAnsi="仿宋_GB2312" w:eastAsia="仿宋_GB2312" w:cs="仿宋_GB2312"/>
                <w:color w:val="auto"/>
                <w:kern w:val="0"/>
                <w:sz w:val="32"/>
                <w:szCs w:val="32"/>
                <w:lang w:val="en-US" w:eastAsia="zh-CN" w:bidi="ar"/>
              </w:rPr>
            </w:pPr>
          </w:p>
        </w:tc>
        <w:tc>
          <w:tcPr>
            <w:tcW w:w="1568" w:type="dxa"/>
          </w:tcPr>
          <w:p w14:paraId="46D8DC28">
            <w:pPr>
              <w:jc w:val="center"/>
              <w:rPr>
                <w:rFonts w:hint="eastAsia" w:ascii="仿宋_GB2312" w:hAnsi="仿宋_GB2312" w:eastAsia="仿宋_GB2312" w:cs="仿宋_GB2312"/>
                <w:color w:val="auto"/>
                <w:kern w:val="0"/>
                <w:sz w:val="32"/>
                <w:szCs w:val="32"/>
                <w:lang w:val="en-US" w:eastAsia="zh-CN" w:bidi="ar"/>
              </w:rPr>
            </w:pPr>
          </w:p>
        </w:tc>
        <w:tc>
          <w:tcPr>
            <w:tcW w:w="1529" w:type="dxa"/>
          </w:tcPr>
          <w:p w14:paraId="76EC5F45">
            <w:pPr>
              <w:jc w:val="center"/>
              <w:rPr>
                <w:rFonts w:hint="eastAsia" w:ascii="仿宋_GB2312" w:hAnsi="仿宋_GB2312" w:eastAsia="仿宋_GB2312" w:cs="仿宋_GB2312"/>
                <w:color w:val="auto"/>
                <w:kern w:val="0"/>
                <w:sz w:val="32"/>
                <w:szCs w:val="32"/>
                <w:lang w:val="en-US" w:eastAsia="zh-CN" w:bidi="ar"/>
              </w:rPr>
            </w:pPr>
          </w:p>
        </w:tc>
        <w:tc>
          <w:tcPr>
            <w:tcW w:w="1482" w:type="dxa"/>
          </w:tcPr>
          <w:p w14:paraId="6837E558">
            <w:pPr>
              <w:jc w:val="center"/>
              <w:rPr>
                <w:rFonts w:hint="eastAsia" w:ascii="仿宋_GB2312" w:hAnsi="仿宋_GB2312" w:eastAsia="仿宋_GB2312" w:cs="仿宋_GB2312"/>
                <w:color w:val="auto"/>
                <w:kern w:val="0"/>
                <w:sz w:val="32"/>
                <w:szCs w:val="32"/>
                <w:lang w:val="en-US" w:eastAsia="zh-CN" w:bidi="ar"/>
              </w:rPr>
            </w:pPr>
          </w:p>
        </w:tc>
        <w:tc>
          <w:tcPr>
            <w:tcW w:w="1468" w:type="dxa"/>
          </w:tcPr>
          <w:p w14:paraId="52B89A4A">
            <w:pPr>
              <w:jc w:val="center"/>
              <w:rPr>
                <w:rFonts w:hint="eastAsia" w:ascii="仿宋_GB2312" w:hAnsi="仿宋_GB2312" w:eastAsia="仿宋_GB2312" w:cs="仿宋_GB2312"/>
                <w:color w:val="auto"/>
                <w:kern w:val="0"/>
                <w:sz w:val="32"/>
                <w:szCs w:val="32"/>
                <w:lang w:val="en-US" w:eastAsia="zh-CN" w:bidi="ar"/>
              </w:rPr>
            </w:pPr>
          </w:p>
        </w:tc>
        <w:tc>
          <w:tcPr>
            <w:tcW w:w="1222" w:type="dxa"/>
          </w:tcPr>
          <w:p w14:paraId="45C5DE42">
            <w:pPr>
              <w:jc w:val="center"/>
              <w:rPr>
                <w:rFonts w:hint="eastAsia" w:ascii="仿宋_GB2312" w:hAnsi="仿宋_GB2312" w:eastAsia="仿宋_GB2312" w:cs="仿宋_GB2312"/>
                <w:color w:val="auto"/>
                <w:kern w:val="0"/>
                <w:sz w:val="32"/>
                <w:szCs w:val="32"/>
                <w:lang w:val="en-US" w:eastAsia="zh-CN" w:bidi="ar"/>
              </w:rPr>
            </w:pPr>
          </w:p>
        </w:tc>
        <w:tc>
          <w:tcPr>
            <w:tcW w:w="1222" w:type="dxa"/>
          </w:tcPr>
          <w:p w14:paraId="662702B0">
            <w:pPr>
              <w:jc w:val="center"/>
              <w:rPr>
                <w:rFonts w:hint="eastAsia" w:ascii="仿宋_GB2312" w:hAnsi="仿宋_GB2312" w:eastAsia="仿宋_GB2312" w:cs="仿宋_GB2312"/>
                <w:color w:val="auto"/>
                <w:kern w:val="0"/>
                <w:sz w:val="32"/>
                <w:szCs w:val="32"/>
                <w:lang w:val="en-US" w:eastAsia="zh-CN" w:bidi="ar"/>
              </w:rPr>
            </w:pPr>
          </w:p>
        </w:tc>
      </w:tr>
      <w:tr w14:paraId="3869D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dxa"/>
          </w:tcPr>
          <w:p w14:paraId="26E0572B">
            <w:pPr>
              <w:jc w:val="center"/>
              <w:rPr>
                <w:rFonts w:hint="eastAsia" w:ascii="仿宋_GB2312" w:hAnsi="仿宋_GB2312" w:eastAsia="仿宋_GB2312" w:cs="仿宋_GB2312"/>
                <w:color w:val="auto"/>
                <w:kern w:val="0"/>
                <w:sz w:val="32"/>
                <w:szCs w:val="32"/>
                <w:lang w:val="en-US" w:eastAsia="zh-CN" w:bidi="ar"/>
              </w:rPr>
            </w:pPr>
          </w:p>
        </w:tc>
        <w:tc>
          <w:tcPr>
            <w:tcW w:w="1860" w:type="dxa"/>
          </w:tcPr>
          <w:p w14:paraId="6383BCBC">
            <w:pPr>
              <w:jc w:val="center"/>
              <w:rPr>
                <w:rFonts w:hint="eastAsia" w:ascii="仿宋_GB2312" w:hAnsi="仿宋_GB2312" w:eastAsia="仿宋_GB2312" w:cs="仿宋_GB2312"/>
                <w:color w:val="auto"/>
                <w:kern w:val="0"/>
                <w:sz w:val="32"/>
                <w:szCs w:val="32"/>
                <w:lang w:val="en-US" w:eastAsia="zh-CN" w:bidi="ar"/>
              </w:rPr>
            </w:pPr>
          </w:p>
        </w:tc>
        <w:tc>
          <w:tcPr>
            <w:tcW w:w="1081" w:type="dxa"/>
          </w:tcPr>
          <w:p w14:paraId="64D54F39">
            <w:pPr>
              <w:jc w:val="center"/>
              <w:rPr>
                <w:rFonts w:hint="eastAsia" w:ascii="仿宋_GB2312" w:hAnsi="仿宋_GB2312" w:eastAsia="仿宋_GB2312" w:cs="仿宋_GB2312"/>
                <w:color w:val="auto"/>
                <w:kern w:val="0"/>
                <w:sz w:val="32"/>
                <w:szCs w:val="32"/>
                <w:lang w:val="en-US" w:eastAsia="zh-CN" w:bidi="ar"/>
              </w:rPr>
            </w:pPr>
          </w:p>
        </w:tc>
        <w:tc>
          <w:tcPr>
            <w:tcW w:w="1072" w:type="dxa"/>
          </w:tcPr>
          <w:p w14:paraId="7DD3531C">
            <w:pPr>
              <w:jc w:val="center"/>
              <w:rPr>
                <w:rFonts w:hint="eastAsia" w:ascii="仿宋_GB2312" w:hAnsi="仿宋_GB2312" w:eastAsia="仿宋_GB2312" w:cs="仿宋_GB2312"/>
                <w:color w:val="auto"/>
                <w:kern w:val="0"/>
                <w:sz w:val="32"/>
                <w:szCs w:val="32"/>
                <w:lang w:val="en-US" w:eastAsia="zh-CN" w:bidi="ar"/>
              </w:rPr>
            </w:pPr>
          </w:p>
        </w:tc>
        <w:tc>
          <w:tcPr>
            <w:tcW w:w="1568" w:type="dxa"/>
          </w:tcPr>
          <w:p w14:paraId="5CDCD247">
            <w:pPr>
              <w:jc w:val="center"/>
              <w:rPr>
                <w:rFonts w:hint="eastAsia" w:ascii="仿宋_GB2312" w:hAnsi="仿宋_GB2312" w:eastAsia="仿宋_GB2312" w:cs="仿宋_GB2312"/>
                <w:color w:val="auto"/>
                <w:kern w:val="0"/>
                <w:sz w:val="32"/>
                <w:szCs w:val="32"/>
                <w:lang w:val="en-US" w:eastAsia="zh-CN" w:bidi="ar"/>
              </w:rPr>
            </w:pPr>
          </w:p>
        </w:tc>
        <w:tc>
          <w:tcPr>
            <w:tcW w:w="1529" w:type="dxa"/>
          </w:tcPr>
          <w:p w14:paraId="79825551">
            <w:pPr>
              <w:jc w:val="center"/>
              <w:rPr>
                <w:rFonts w:hint="eastAsia" w:ascii="仿宋_GB2312" w:hAnsi="仿宋_GB2312" w:eastAsia="仿宋_GB2312" w:cs="仿宋_GB2312"/>
                <w:color w:val="auto"/>
                <w:kern w:val="0"/>
                <w:sz w:val="32"/>
                <w:szCs w:val="32"/>
                <w:lang w:val="en-US" w:eastAsia="zh-CN" w:bidi="ar"/>
              </w:rPr>
            </w:pPr>
          </w:p>
        </w:tc>
        <w:tc>
          <w:tcPr>
            <w:tcW w:w="1482" w:type="dxa"/>
          </w:tcPr>
          <w:p w14:paraId="7CEECF62">
            <w:pPr>
              <w:jc w:val="center"/>
              <w:rPr>
                <w:rFonts w:hint="eastAsia" w:ascii="仿宋_GB2312" w:hAnsi="仿宋_GB2312" w:eastAsia="仿宋_GB2312" w:cs="仿宋_GB2312"/>
                <w:color w:val="auto"/>
                <w:kern w:val="0"/>
                <w:sz w:val="32"/>
                <w:szCs w:val="32"/>
                <w:lang w:val="en-US" w:eastAsia="zh-CN" w:bidi="ar"/>
              </w:rPr>
            </w:pPr>
          </w:p>
        </w:tc>
        <w:tc>
          <w:tcPr>
            <w:tcW w:w="1468" w:type="dxa"/>
          </w:tcPr>
          <w:p w14:paraId="0FDD80CB">
            <w:pPr>
              <w:jc w:val="center"/>
              <w:rPr>
                <w:rFonts w:hint="eastAsia" w:ascii="仿宋_GB2312" w:hAnsi="仿宋_GB2312" w:eastAsia="仿宋_GB2312" w:cs="仿宋_GB2312"/>
                <w:color w:val="auto"/>
                <w:kern w:val="0"/>
                <w:sz w:val="32"/>
                <w:szCs w:val="32"/>
                <w:lang w:val="en-US" w:eastAsia="zh-CN" w:bidi="ar"/>
              </w:rPr>
            </w:pPr>
          </w:p>
        </w:tc>
        <w:tc>
          <w:tcPr>
            <w:tcW w:w="1222" w:type="dxa"/>
          </w:tcPr>
          <w:p w14:paraId="626D664D">
            <w:pPr>
              <w:jc w:val="center"/>
              <w:rPr>
                <w:rFonts w:hint="eastAsia" w:ascii="仿宋_GB2312" w:hAnsi="仿宋_GB2312" w:eastAsia="仿宋_GB2312" w:cs="仿宋_GB2312"/>
                <w:color w:val="auto"/>
                <w:kern w:val="0"/>
                <w:sz w:val="32"/>
                <w:szCs w:val="32"/>
                <w:lang w:val="en-US" w:eastAsia="zh-CN" w:bidi="ar"/>
              </w:rPr>
            </w:pPr>
          </w:p>
        </w:tc>
        <w:tc>
          <w:tcPr>
            <w:tcW w:w="1222" w:type="dxa"/>
          </w:tcPr>
          <w:p w14:paraId="266D4180">
            <w:pPr>
              <w:jc w:val="center"/>
              <w:rPr>
                <w:rFonts w:hint="eastAsia" w:ascii="仿宋_GB2312" w:hAnsi="仿宋_GB2312" w:eastAsia="仿宋_GB2312" w:cs="仿宋_GB2312"/>
                <w:color w:val="auto"/>
                <w:kern w:val="0"/>
                <w:sz w:val="32"/>
                <w:szCs w:val="32"/>
                <w:lang w:val="en-US" w:eastAsia="zh-CN" w:bidi="ar"/>
              </w:rPr>
            </w:pPr>
          </w:p>
        </w:tc>
      </w:tr>
      <w:tr w14:paraId="63FAC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974" w:type="dxa"/>
          </w:tcPr>
          <w:p w14:paraId="126933A7">
            <w:pPr>
              <w:jc w:val="center"/>
              <w:rPr>
                <w:rFonts w:hint="eastAsia" w:ascii="方正小标宋简体" w:hAnsi="方正小标宋简体" w:eastAsia="方正小标宋简体" w:cs="方正小标宋简体"/>
                <w:color w:val="auto"/>
                <w:sz w:val="44"/>
                <w:szCs w:val="44"/>
                <w:vertAlign w:val="baseline"/>
                <w:lang w:val="en-US" w:eastAsia="zh-CN"/>
              </w:rPr>
            </w:pPr>
          </w:p>
        </w:tc>
        <w:tc>
          <w:tcPr>
            <w:tcW w:w="1860" w:type="dxa"/>
          </w:tcPr>
          <w:p w14:paraId="2A006791">
            <w:pPr>
              <w:jc w:val="center"/>
              <w:rPr>
                <w:rFonts w:hint="eastAsia" w:ascii="方正小标宋简体" w:hAnsi="方正小标宋简体" w:eastAsia="方正小标宋简体" w:cs="方正小标宋简体"/>
                <w:color w:val="auto"/>
                <w:sz w:val="44"/>
                <w:szCs w:val="44"/>
                <w:vertAlign w:val="baseline"/>
                <w:lang w:val="en-US" w:eastAsia="zh-CN"/>
              </w:rPr>
            </w:pPr>
          </w:p>
        </w:tc>
        <w:tc>
          <w:tcPr>
            <w:tcW w:w="1081" w:type="dxa"/>
          </w:tcPr>
          <w:p w14:paraId="17F5E6A3">
            <w:pPr>
              <w:jc w:val="center"/>
              <w:rPr>
                <w:rFonts w:hint="eastAsia" w:ascii="方正小标宋简体" w:hAnsi="方正小标宋简体" w:eastAsia="方正小标宋简体" w:cs="方正小标宋简体"/>
                <w:color w:val="auto"/>
                <w:sz w:val="44"/>
                <w:szCs w:val="44"/>
                <w:vertAlign w:val="baseline"/>
                <w:lang w:val="en-US" w:eastAsia="zh-CN"/>
              </w:rPr>
            </w:pPr>
          </w:p>
        </w:tc>
        <w:tc>
          <w:tcPr>
            <w:tcW w:w="1072" w:type="dxa"/>
          </w:tcPr>
          <w:p w14:paraId="00AE8A95">
            <w:pPr>
              <w:jc w:val="center"/>
              <w:rPr>
                <w:rFonts w:hint="eastAsia" w:ascii="方正小标宋简体" w:hAnsi="方正小标宋简体" w:eastAsia="方正小标宋简体" w:cs="方正小标宋简体"/>
                <w:color w:val="auto"/>
                <w:sz w:val="44"/>
                <w:szCs w:val="44"/>
                <w:vertAlign w:val="baseline"/>
                <w:lang w:val="en-US" w:eastAsia="zh-CN"/>
              </w:rPr>
            </w:pPr>
          </w:p>
        </w:tc>
        <w:tc>
          <w:tcPr>
            <w:tcW w:w="1568" w:type="dxa"/>
          </w:tcPr>
          <w:p w14:paraId="6F2455D7">
            <w:pPr>
              <w:jc w:val="center"/>
              <w:rPr>
                <w:rFonts w:hint="eastAsia" w:ascii="方正小标宋简体" w:hAnsi="方正小标宋简体" w:eastAsia="方正小标宋简体" w:cs="方正小标宋简体"/>
                <w:color w:val="auto"/>
                <w:sz w:val="44"/>
                <w:szCs w:val="44"/>
                <w:vertAlign w:val="baseline"/>
                <w:lang w:val="en-US" w:eastAsia="zh-CN"/>
              </w:rPr>
            </w:pPr>
          </w:p>
        </w:tc>
        <w:tc>
          <w:tcPr>
            <w:tcW w:w="1529" w:type="dxa"/>
          </w:tcPr>
          <w:p w14:paraId="197120AC">
            <w:pPr>
              <w:jc w:val="center"/>
              <w:rPr>
                <w:rFonts w:hint="eastAsia" w:ascii="仿宋_GB2312" w:hAnsi="仿宋_GB2312" w:eastAsia="仿宋_GB2312" w:cs="仿宋_GB2312"/>
                <w:color w:val="auto"/>
                <w:kern w:val="0"/>
                <w:sz w:val="32"/>
                <w:szCs w:val="32"/>
                <w:lang w:val="en-US" w:eastAsia="zh-CN" w:bidi="ar"/>
              </w:rPr>
            </w:pPr>
          </w:p>
        </w:tc>
        <w:tc>
          <w:tcPr>
            <w:tcW w:w="1482" w:type="dxa"/>
          </w:tcPr>
          <w:p w14:paraId="78A09CC7">
            <w:pPr>
              <w:jc w:val="center"/>
              <w:rPr>
                <w:rFonts w:hint="eastAsia" w:ascii="方正小标宋简体" w:hAnsi="方正小标宋简体" w:eastAsia="方正小标宋简体" w:cs="方正小标宋简体"/>
                <w:color w:val="auto"/>
                <w:sz w:val="44"/>
                <w:szCs w:val="44"/>
                <w:vertAlign w:val="baseline"/>
                <w:lang w:val="en-US" w:eastAsia="zh-CN"/>
              </w:rPr>
            </w:pPr>
          </w:p>
        </w:tc>
        <w:tc>
          <w:tcPr>
            <w:tcW w:w="1468" w:type="dxa"/>
          </w:tcPr>
          <w:p w14:paraId="445AF8D9">
            <w:pPr>
              <w:jc w:val="center"/>
              <w:rPr>
                <w:rFonts w:hint="eastAsia" w:ascii="方正小标宋简体" w:hAnsi="方正小标宋简体" w:eastAsia="方正小标宋简体" w:cs="方正小标宋简体"/>
                <w:color w:val="auto"/>
                <w:sz w:val="44"/>
                <w:szCs w:val="44"/>
                <w:vertAlign w:val="baseline"/>
                <w:lang w:val="en-US" w:eastAsia="zh-CN"/>
              </w:rPr>
            </w:pPr>
          </w:p>
        </w:tc>
        <w:tc>
          <w:tcPr>
            <w:tcW w:w="1222" w:type="dxa"/>
          </w:tcPr>
          <w:p w14:paraId="7AFF481E">
            <w:pPr>
              <w:jc w:val="center"/>
              <w:rPr>
                <w:rFonts w:hint="eastAsia" w:ascii="方正小标宋简体" w:hAnsi="方正小标宋简体" w:eastAsia="方正小标宋简体" w:cs="方正小标宋简体"/>
                <w:color w:val="auto"/>
                <w:sz w:val="44"/>
                <w:szCs w:val="44"/>
                <w:vertAlign w:val="baseline"/>
                <w:lang w:val="en-US" w:eastAsia="zh-CN"/>
              </w:rPr>
            </w:pPr>
          </w:p>
        </w:tc>
        <w:tc>
          <w:tcPr>
            <w:tcW w:w="1222" w:type="dxa"/>
          </w:tcPr>
          <w:p w14:paraId="27557D9D">
            <w:pPr>
              <w:jc w:val="center"/>
              <w:rPr>
                <w:rFonts w:hint="eastAsia" w:ascii="方正小标宋简体" w:hAnsi="方正小标宋简体" w:eastAsia="方正小标宋简体" w:cs="方正小标宋简体"/>
                <w:color w:val="auto"/>
                <w:sz w:val="44"/>
                <w:szCs w:val="44"/>
                <w:vertAlign w:val="baseline"/>
                <w:lang w:val="en-US" w:eastAsia="zh-CN"/>
              </w:rPr>
            </w:pPr>
          </w:p>
        </w:tc>
      </w:tr>
      <w:tr w14:paraId="630A1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974" w:type="dxa"/>
          </w:tcPr>
          <w:p w14:paraId="4A30D11D">
            <w:pPr>
              <w:jc w:val="center"/>
              <w:rPr>
                <w:rFonts w:hint="eastAsia" w:ascii="方正小标宋简体" w:hAnsi="方正小标宋简体" w:eastAsia="方正小标宋简体" w:cs="方正小标宋简体"/>
                <w:color w:val="auto"/>
                <w:sz w:val="44"/>
                <w:szCs w:val="44"/>
                <w:vertAlign w:val="baseline"/>
                <w:lang w:val="en-US" w:eastAsia="zh-CN"/>
              </w:rPr>
            </w:pPr>
          </w:p>
        </w:tc>
        <w:tc>
          <w:tcPr>
            <w:tcW w:w="1860" w:type="dxa"/>
          </w:tcPr>
          <w:p w14:paraId="1ED624B7">
            <w:pPr>
              <w:jc w:val="center"/>
              <w:rPr>
                <w:rFonts w:hint="eastAsia" w:ascii="方正小标宋简体" w:hAnsi="方正小标宋简体" w:eastAsia="方正小标宋简体" w:cs="方正小标宋简体"/>
                <w:color w:val="auto"/>
                <w:sz w:val="44"/>
                <w:szCs w:val="44"/>
                <w:vertAlign w:val="baseline"/>
                <w:lang w:val="en-US" w:eastAsia="zh-CN"/>
              </w:rPr>
            </w:pPr>
          </w:p>
        </w:tc>
        <w:tc>
          <w:tcPr>
            <w:tcW w:w="1081" w:type="dxa"/>
          </w:tcPr>
          <w:p w14:paraId="040B7AC3">
            <w:pPr>
              <w:jc w:val="center"/>
              <w:rPr>
                <w:rFonts w:hint="eastAsia" w:ascii="方正小标宋简体" w:hAnsi="方正小标宋简体" w:eastAsia="方正小标宋简体" w:cs="方正小标宋简体"/>
                <w:color w:val="auto"/>
                <w:sz w:val="44"/>
                <w:szCs w:val="44"/>
                <w:vertAlign w:val="baseline"/>
                <w:lang w:val="en-US" w:eastAsia="zh-CN"/>
              </w:rPr>
            </w:pPr>
          </w:p>
        </w:tc>
        <w:tc>
          <w:tcPr>
            <w:tcW w:w="1072" w:type="dxa"/>
          </w:tcPr>
          <w:p w14:paraId="41498912">
            <w:pPr>
              <w:jc w:val="center"/>
              <w:rPr>
                <w:rFonts w:hint="eastAsia" w:ascii="方正小标宋简体" w:hAnsi="方正小标宋简体" w:eastAsia="方正小标宋简体" w:cs="方正小标宋简体"/>
                <w:color w:val="auto"/>
                <w:sz w:val="44"/>
                <w:szCs w:val="44"/>
                <w:vertAlign w:val="baseline"/>
                <w:lang w:val="en-US" w:eastAsia="zh-CN"/>
              </w:rPr>
            </w:pPr>
          </w:p>
        </w:tc>
        <w:tc>
          <w:tcPr>
            <w:tcW w:w="1568" w:type="dxa"/>
          </w:tcPr>
          <w:p w14:paraId="1DC4B276">
            <w:pPr>
              <w:jc w:val="center"/>
              <w:rPr>
                <w:rFonts w:hint="eastAsia" w:ascii="方正小标宋简体" w:hAnsi="方正小标宋简体" w:eastAsia="方正小标宋简体" w:cs="方正小标宋简体"/>
                <w:color w:val="auto"/>
                <w:sz w:val="44"/>
                <w:szCs w:val="44"/>
                <w:vertAlign w:val="baseline"/>
                <w:lang w:val="en-US" w:eastAsia="zh-CN"/>
              </w:rPr>
            </w:pPr>
          </w:p>
        </w:tc>
        <w:tc>
          <w:tcPr>
            <w:tcW w:w="1529" w:type="dxa"/>
            <w:vAlign w:val="center"/>
          </w:tcPr>
          <w:p w14:paraId="037981B7">
            <w:pPr>
              <w:jc w:val="center"/>
              <w:rPr>
                <w:rFonts w:hint="eastAsia" w:ascii="仿宋_GB2312" w:hAnsi="仿宋_GB2312" w:eastAsia="仿宋_GB2312" w:cs="仿宋_GB2312"/>
                <w:color w:val="auto"/>
                <w:kern w:val="0"/>
                <w:sz w:val="32"/>
                <w:szCs w:val="32"/>
                <w:lang w:val="en-US" w:eastAsia="zh-CN" w:bidi="ar"/>
              </w:rPr>
            </w:pPr>
          </w:p>
        </w:tc>
        <w:tc>
          <w:tcPr>
            <w:tcW w:w="1482" w:type="dxa"/>
          </w:tcPr>
          <w:p w14:paraId="3DF0F42E">
            <w:pPr>
              <w:jc w:val="center"/>
              <w:rPr>
                <w:rFonts w:hint="eastAsia" w:ascii="方正小标宋简体" w:hAnsi="方正小标宋简体" w:eastAsia="方正小标宋简体" w:cs="方正小标宋简体"/>
                <w:color w:val="auto"/>
                <w:sz w:val="44"/>
                <w:szCs w:val="44"/>
                <w:vertAlign w:val="baseline"/>
                <w:lang w:val="en-US" w:eastAsia="zh-CN"/>
              </w:rPr>
            </w:pPr>
          </w:p>
        </w:tc>
        <w:tc>
          <w:tcPr>
            <w:tcW w:w="1468" w:type="dxa"/>
          </w:tcPr>
          <w:p w14:paraId="61A5375A">
            <w:pPr>
              <w:jc w:val="center"/>
              <w:rPr>
                <w:rFonts w:hint="eastAsia" w:ascii="方正小标宋简体" w:hAnsi="方正小标宋简体" w:eastAsia="方正小标宋简体" w:cs="方正小标宋简体"/>
                <w:color w:val="auto"/>
                <w:sz w:val="44"/>
                <w:szCs w:val="44"/>
                <w:vertAlign w:val="baseline"/>
                <w:lang w:val="en-US" w:eastAsia="zh-CN"/>
              </w:rPr>
            </w:pPr>
          </w:p>
        </w:tc>
        <w:tc>
          <w:tcPr>
            <w:tcW w:w="1222" w:type="dxa"/>
          </w:tcPr>
          <w:p w14:paraId="2CEBB855">
            <w:pPr>
              <w:jc w:val="center"/>
              <w:rPr>
                <w:rFonts w:hint="eastAsia" w:ascii="方正小标宋简体" w:hAnsi="方正小标宋简体" w:eastAsia="方正小标宋简体" w:cs="方正小标宋简体"/>
                <w:color w:val="auto"/>
                <w:sz w:val="44"/>
                <w:szCs w:val="44"/>
                <w:vertAlign w:val="baseline"/>
                <w:lang w:val="en-US" w:eastAsia="zh-CN"/>
              </w:rPr>
            </w:pPr>
          </w:p>
        </w:tc>
        <w:tc>
          <w:tcPr>
            <w:tcW w:w="1222" w:type="dxa"/>
          </w:tcPr>
          <w:p w14:paraId="4778B1BB">
            <w:pPr>
              <w:jc w:val="center"/>
              <w:rPr>
                <w:rFonts w:hint="eastAsia" w:ascii="方正小标宋简体" w:hAnsi="方正小标宋简体" w:eastAsia="方正小标宋简体" w:cs="方正小标宋简体"/>
                <w:color w:val="auto"/>
                <w:sz w:val="44"/>
                <w:szCs w:val="44"/>
                <w:vertAlign w:val="baseline"/>
                <w:lang w:val="en-US" w:eastAsia="zh-CN"/>
              </w:rPr>
            </w:pPr>
          </w:p>
        </w:tc>
      </w:tr>
    </w:tbl>
    <w:p w14:paraId="386A945B">
      <w:pPr>
        <w:jc w:val="left"/>
        <w:rPr>
          <w:rFonts w:hint="eastAsia" w:ascii="仿宋_GB2312" w:hAnsi="仿宋_GB2312" w:eastAsia="仿宋_GB2312" w:cs="仿宋_GB2312"/>
          <w:color w:val="auto"/>
          <w:kern w:val="0"/>
          <w:sz w:val="32"/>
          <w:szCs w:val="32"/>
          <w:lang w:val="en-US" w:eastAsia="zh-CN" w:bidi="ar"/>
        </w:rPr>
        <w:sectPr>
          <w:pgSz w:w="16838" w:h="11906" w:orient="landscape"/>
          <w:pgMar w:top="1587" w:right="1984" w:bottom="1587" w:left="1587" w:header="851" w:footer="992" w:gutter="0"/>
          <w:pgNumType w:fmt="decimal"/>
          <w:cols w:space="0" w:num="1"/>
          <w:rtlGutter w:val="0"/>
          <w:docGrid w:type="lines" w:linePitch="323" w:charSpace="0"/>
        </w:sectPr>
      </w:pPr>
    </w:p>
    <w:p w14:paraId="485B7F80">
      <w:pPr>
        <w:jc w:val="left"/>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附件7</w:t>
      </w:r>
    </w:p>
    <w:p w14:paraId="788883F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遗体火化登记表</w:t>
      </w:r>
    </w:p>
    <w:p w14:paraId="0E422831">
      <w:pPr>
        <w:jc w:val="left"/>
        <w:rPr>
          <w:rFonts w:hint="eastAsia" w:ascii="仿宋_GB2312" w:hAnsi="仿宋_GB2312" w:eastAsia="仿宋_GB2312" w:cs="仿宋_GB2312"/>
          <w:color w:val="auto"/>
          <w:kern w:val="0"/>
          <w:sz w:val="32"/>
          <w:szCs w:val="32"/>
          <w:lang w:val="en-US" w:eastAsia="zh-CN" w:bidi="ar"/>
        </w:rPr>
      </w:pPr>
    </w:p>
    <w:p w14:paraId="3B0B3CA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遗体编号：</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 xml:space="preserve">                填表日期：   </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年   月   日</w:t>
      </w:r>
    </w:p>
    <w:p w14:paraId="542BFCB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一、逝者信息</w:t>
      </w:r>
      <w:r>
        <w:rPr>
          <w:rFonts w:hint="eastAsia" w:ascii="仿宋_GB2312" w:hAnsi="仿宋_GB2312" w:eastAsia="仿宋_GB2312" w:cs="仿宋_GB2312"/>
          <w:b/>
          <w:bCs/>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ab/>
      </w:r>
    </w:p>
    <w:p w14:paraId="3ABDAE7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姓 名：            </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性 别：</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□男 □女 □不明</w:t>
      </w:r>
    </w:p>
    <w:p w14:paraId="4319363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年 龄：            </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籍 贯</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w:t>
      </w:r>
    </w:p>
    <w:p w14:paraId="49DBA65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身份证件类型：□身份证 □护照 □其他______</w:t>
      </w:r>
      <w:r>
        <w:rPr>
          <w:rFonts w:hint="eastAsia" w:ascii="仿宋_GB2312" w:hAnsi="仿宋_GB2312" w:eastAsia="仿宋_GB2312" w:cs="仿宋_GB2312"/>
          <w:color w:val="auto"/>
          <w:kern w:val="0"/>
          <w:sz w:val="32"/>
          <w:szCs w:val="32"/>
          <w:lang w:val="en-US" w:eastAsia="zh-CN" w:bidi="ar"/>
        </w:rPr>
        <w:tab/>
      </w:r>
    </w:p>
    <w:p w14:paraId="3B9A5A0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身份证件号码：</w:t>
      </w:r>
      <w:r>
        <w:rPr>
          <w:rFonts w:hint="eastAsia" w:ascii="仿宋_GB2312" w:hAnsi="仿宋_GB2312" w:eastAsia="仿宋_GB2312" w:cs="仿宋_GB2312"/>
          <w:color w:val="auto"/>
          <w:kern w:val="0"/>
          <w:sz w:val="32"/>
          <w:szCs w:val="32"/>
          <w:lang w:val="en-US" w:eastAsia="zh-CN" w:bidi="ar"/>
        </w:rPr>
        <w:tab/>
      </w:r>
    </w:p>
    <w:p w14:paraId="13A3D57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死亡时间：    </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年   月   日    时    分</w:t>
      </w:r>
      <w:r>
        <w:rPr>
          <w:rFonts w:hint="eastAsia" w:ascii="仿宋_GB2312" w:hAnsi="仿宋_GB2312" w:eastAsia="仿宋_GB2312" w:cs="仿宋_GB2312"/>
          <w:color w:val="auto"/>
          <w:kern w:val="0"/>
          <w:sz w:val="32"/>
          <w:szCs w:val="32"/>
          <w:lang w:val="en-US" w:eastAsia="zh-CN" w:bidi="ar"/>
        </w:rPr>
        <w:tab/>
      </w:r>
    </w:p>
    <w:p w14:paraId="209E0E2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死亡原因：</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ab/>
      </w:r>
    </w:p>
    <w:p w14:paraId="3D7BEF6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二、丧事承办人信息</w:t>
      </w:r>
      <w:r>
        <w:rPr>
          <w:rFonts w:hint="eastAsia" w:ascii="仿宋_GB2312" w:hAnsi="仿宋_GB2312" w:eastAsia="仿宋_GB2312" w:cs="仿宋_GB2312"/>
          <w:b/>
          <w:bCs/>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ab/>
      </w:r>
    </w:p>
    <w:p w14:paraId="32E71F9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姓 名</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与逝者关系：</w:t>
      </w:r>
      <w:r>
        <w:rPr>
          <w:rFonts w:hint="eastAsia" w:ascii="仿宋_GB2312" w:hAnsi="仿宋_GB2312" w:eastAsia="仿宋_GB2312" w:cs="仿宋_GB2312"/>
          <w:color w:val="auto"/>
          <w:kern w:val="0"/>
          <w:sz w:val="32"/>
          <w:szCs w:val="32"/>
          <w:lang w:val="en-US" w:eastAsia="zh-CN" w:bidi="ar"/>
        </w:rPr>
        <w:tab/>
      </w:r>
    </w:p>
    <w:p w14:paraId="714B2A3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身份证件类型：□身份证 □护照 □其他______</w:t>
      </w:r>
      <w:r>
        <w:rPr>
          <w:rFonts w:hint="eastAsia" w:ascii="仿宋_GB2312" w:hAnsi="仿宋_GB2312" w:eastAsia="仿宋_GB2312" w:cs="仿宋_GB2312"/>
          <w:color w:val="auto"/>
          <w:kern w:val="0"/>
          <w:sz w:val="32"/>
          <w:szCs w:val="32"/>
          <w:lang w:val="en-US" w:eastAsia="zh-CN" w:bidi="ar"/>
        </w:rPr>
        <w:tab/>
      </w:r>
    </w:p>
    <w:p w14:paraId="3E85EDE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身份证件号码：</w:t>
      </w:r>
    </w:p>
    <w:p w14:paraId="7C6F1A3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联系电话：          </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联系地址：</w:t>
      </w:r>
      <w:r>
        <w:rPr>
          <w:rFonts w:hint="eastAsia" w:ascii="仿宋_GB2312" w:hAnsi="仿宋_GB2312" w:eastAsia="仿宋_GB2312" w:cs="仿宋_GB2312"/>
          <w:color w:val="auto"/>
          <w:kern w:val="0"/>
          <w:sz w:val="32"/>
          <w:szCs w:val="32"/>
          <w:lang w:val="en-US" w:eastAsia="zh-CN" w:bidi="ar"/>
        </w:rPr>
        <w:tab/>
      </w:r>
    </w:p>
    <w:p w14:paraId="11C794D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三、火化信息</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ab/>
      </w:r>
    </w:p>
    <w:p w14:paraId="4B68595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火化时间：    </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年    月    日    时</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 xml:space="preserve">   </w:t>
      </w:r>
    </w:p>
    <w:p w14:paraId="2157173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骨灰处理方式：</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□领取 □寄存 □其他</w:t>
      </w:r>
    </w:p>
    <w:p w14:paraId="7AA62E8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骨灰领取人：        </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领取人签字：</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ab/>
      </w:r>
    </w:p>
    <w:p w14:paraId="7B33908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四、签字确认</w:t>
      </w:r>
      <w:r>
        <w:rPr>
          <w:rFonts w:hint="eastAsia" w:ascii="仿宋_GB2312" w:hAnsi="仿宋_GB2312" w:eastAsia="仿宋_GB2312" w:cs="仿宋_GB2312"/>
          <w:b/>
          <w:bCs/>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ab/>
      </w:r>
    </w:p>
    <w:p w14:paraId="651AF3E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丧事承办人签字：</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日期：</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 xml:space="preserve">  年   月   日</w:t>
      </w:r>
    </w:p>
    <w:p w14:paraId="62DBFD1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火化工作人员签字：</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 xml:space="preserve">        日期：</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 xml:space="preserve">  年   月   日</w:t>
      </w:r>
    </w:p>
    <w:p w14:paraId="6DAEBA55">
      <w:pPr>
        <w:jc w:val="left"/>
        <w:rPr>
          <w:rFonts w:hint="eastAsia" w:ascii="方正小标宋简体" w:hAnsi="方正小标宋简体" w:eastAsia="方正小标宋简体" w:cs="方正小标宋简体"/>
          <w:color w:val="auto"/>
          <w:sz w:val="44"/>
          <w:szCs w:val="44"/>
          <w:lang w:val="en-US" w:eastAsia="zh-CN"/>
        </w:rPr>
      </w:pPr>
      <w:r>
        <w:rPr>
          <w:rFonts w:hint="eastAsia" w:ascii="仿宋_GB2312" w:hAnsi="仿宋_GB2312" w:eastAsia="仿宋_GB2312" w:cs="仿宋_GB2312"/>
          <w:color w:val="auto"/>
          <w:kern w:val="0"/>
          <w:sz w:val="32"/>
          <w:szCs w:val="32"/>
          <w:lang w:val="en-US" w:eastAsia="zh-CN" w:bidi="ar"/>
        </w:rPr>
        <w:t>附件8</w:t>
      </w:r>
    </w:p>
    <w:p w14:paraId="480B3F8A">
      <w:pPr>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突发事件遇难人员家属抚慰金发放登记表</w:t>
      </w:r>
    </w:p>
    <w:p w14:paraId="65496A7D">
      <w:pPr>
        <w:jc w:val="both"/>
        <w:rPr>
          <w:rFonts w:hint="eastAsia" w:ascii="方正小标宋简体" w:hAnsi="方正小标宋简体" w:eastAsia="方正小标宋简体" w:cs="方正小标宋简体"/>
          <w:color w:val="auto"/>
          <w:sz w:val="44"/>
          <w:szCs w:val="44"/>
          <w:lang w:val="en-US" w:eastAsia="zh-CN"/>
        </w:rPr>
      </w:pPr>
    </w:p>
    <w:p w14:paraId="6214E5A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编号：___________________</w:t>
      </w:r>
    </w:p>
    <w:p w14:paraId="716138B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一、遇难人员信息</w:t>
      </w:r>
      <w:r>
        <w:rPr>
          <w:rFonts w:hint="eastAsia" w:ascii="仿宋_GB2312" w:hAnsi="仿宋_GB2312" w:eastAsia="仿宋_GB2312" w:cs="仿宋_GB2312"/>
          <w:b/>
          <w:bCs/>
          <w:color w:val="auto"/>
          <w:kern w:val="0"/>
          <w:sz w:val="32"/>
          <w:szCs w:val="32"/>
          <w:lang w:val="en-US" w:eastAsia="zh-CN" w:bidi="ar"/>
        </w:rPr>
        <w:tab/>
      </w:r>
    </w:p>
    <w:p w14:paraId="7DA2725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姓 名</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                 性 别：</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 男　□ 女　□ 不明</w:t>
      </w:r>
    </w:p>
    <w:p w14:paraId="4543706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身份证件号码：</w:t>
      </w:r>
      <w:r>
        <w:rPr>
          <w:rFonts w:hint="eastAsia" w:ascii="仿宋_GB2312" w:hAnsi="仿宋_GB2312" w:eastAsia="仿宋_GB2312" w:cs="仿宋_GB2312"/>
          <w:color w:val="auto"/>
          <w:kern w:val="0"/>
          <w:sz w:val="32"/>
          <w:szCs w:val="32"/>
          <w:lang w:val="en-US" w:eastAsia="zh-CN" w:bidi="ar"/>
        </w:rPr>
        <w:tab/>
      </w:r>
    </w:p>
    <w:p w14:paraId="03175ADF">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户籍所在地</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w:t>
      </w:r>
    </w:p>
    <w:p w14:paraId="13799EC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 xml:space="preserve">死亡时间： </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　　年 　月 　日　 时 　分</w:t>
      </w:r>
    </w:p>
    <w:p w14:paraId="3AF7CC7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死亡地点：</w:t>
      </w:r>
      <w:r>
        <w:rPr>
          <w:rFonts w:hint="eastAsia" w:ascii="仿宋_GB2312" w:hAnsi="仿宋_GB2312" w:eastAsia="仿宋_GB2312" w:cs="仿宋_GB2312"/>
          <w:color w:val="auto"/>
          <w:kern w:val="0"/>
          <w:sz w:val="32"/>
          <w:szCs w:val="32"/>
          <w:lang w:val="en-US" w:eastAsia="zh-CN" w:bidi="ar"/>
        </w:rPr>
        <w:tab/>
      </w:r>
    </w:p>
    <w:p w14:paraId="03A26CC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死亡原因：</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ab/>
      </w:r>
    </w:p>
    <w:p w14:paraId="3815BF04">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死亡证明出具单位：</w:t>
      </w:r>
      <w:r>
        <w:rPr>
          <w:rFonts w:hint="eastAsia" w:ascii="仿宋_GB2312" w:hAnsi="仿宋_GB2312" w:eastAsia="仿宋_GB2312" w:cs="仿宋_GB2312"/>
          <w:color w:val="auto"/>
          <w:kern w:val="0"/>
          <w:sz w:val="32"/>
          <w:szCs w:val="32"/>
          <w:lang w:val="en-US" w:eastAsia="zh-CN" w:bidi="ar"/>
        </w:rPr>
        <w:tab/>
      </w:r>
    </w:p>
    <w:p w14:paraId="1E90103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二、家属（领取人）信息</w:t>
      </w:r>
      <w:r>
        <w:rPr>
          <w:rFonts w:hint="eastAsia" w:ascii="仿宋_GB2312" w:hAnsi="仿宋_GB2312" w:eastAsia="仿宋_GB2312" w:cs="仿宋_GB2312"/>
          <w:b/>
          <w:bCs/>
          <w:color w:val="auto"/>
          <w:kern w:val="0"/>
          <w:sz w:val="32"/>
          <w:szCs w:val="32"/>
          <w:lang w:val="en-US" w:eastAsia="zh-CN" w:bidi="ar"/>
        </w:rPr>
        <w:tab/>
      </w:r>
    </w:p>
    <w:p w14:paraId="031C32A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姓 名</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                  与遇难者关系：</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□配偶　□子女　□父母　□兄弟姐妹　□其他______</w:t>
      </w:r>
    </w:p>
    <w:p w14:paraId="4230D5B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身份证件类型：□身份证　□护照　□其他______</w:t>
      </w:r>
    </w:p>
    <w:p w14:paraId="6CDA301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身份证件号码</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w:t>
      </w:r>
    </w:p>
    <w:p w14:paraId="76FC6D8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联系电话：</w:t>
      </w:r>
      <w:r>
        <w:rPr>
          <w:rFonts w:hint="eastAsia" w:ascii="仿宋_GB2312" w:hAnsi="仿宋_GB2312" w:eastAsia="仿宋_GB2312" w:cs="仿宋_GB2312"/>
          <w:color w:val="auto"/>
          <w:kern w:val="0"/>
          <w:sz w:val="32"/>
          <w:szCs w:val="32"/>
          <w:lang w:val="en-US" w:eastAsia="zh-CN" w:bidi="ar"/>
        </w:rPr>
        <w:tab/>
      </w:r>
    </w:p>
    <w:p w14:paraId="4989079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联系地址：</w:t>
      </w:r>
      <w:r>
        <w:rPr>
          <w:rFonts w:hint="eastAsia" w:ascii="仿宋_GB2312" w:hAnsi="仿宋_GB2312" w:eastAsia="仿宋_GB2312" w:cs="仿宋_GB2312"/>
          <w:color w:val="auto"/>
          <w:kern w:val="0"/>
          <w:sz w:val="32"/>
          <w:szCs w:val="32"/>
          <w:lang w:val="en-US" w:eastAsia="zh-CN" w:bidi="ar"/>
        </w:rPr>
        <w:tab/>
      </w:r>
    </w:p>
    <w:p w14:paraId="3A628B2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银行账户信息：</w:t>
      </w:r>
    </w:p>
    <w:p w14:paraId="314AA6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开户行：</w:t>
      </w:r>
    </w:p>
    <w:p w14:paraId="6FA47EC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账  号：</w:t>
      </w:r>
      <w:r>
        <w:rPr>
          <w:rFonts w:hint="eastAsia" w:ascii="仿宋_GB2312" w:hAnsi="仿宋_GB2312" w:eastAsia="仿宋_GB2312" w:cs="仿宋_GB2312"/>
          <w:color w:val="auto"/>
          <w:kern w:val="0"/>
          <w:sz w:val="32"/>
          <w:szCs w:val="32"/>
          <w:lang w:val="en-US" w:eastAsia="zh-CN" w:bidi="ar"/>
        </w:rPr>
        <w:tab/>
      </w:r>
    </w:p>
    <w:p w14:paraId="1B9A443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三、抚慰金发放信息</w:t>
      </w:r>
      <w:r>
        <w:rPr>
          <w:rFonts w:hint="eastAsia" w:ascii="仿宋_GB2312" w:hAnsi="仿宋_GB2312" w:eastAsia="仿宋_GB2312" w:cs="仿宋_GB2312"/>
          <w:b/>
          <w:bCs/>
          <w:color w:val="auto"/>
          <w:kern w:val="0"/>
          <w:sz w:val="32"/>
          <w:szCs w:val="32"/>
          <w:lang w:val="en-US" w:eastAsia="zh-CN" w:bidi="ar"/>
        </w:rPr>
        <w:tab/>
      </w:r>
    </w:p>
    <w:p w14:paraId="1681167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发放标准（元/人）：</w:t>
      </w:r>
      <w:r>
        <w:rPr>
          <w:rFonts w:hint="eastAsia" w:ascii="仿宋_GB2312" w:hAnsi="仿宋_GB2312" w:eastAsia="仿宋_GB2312" w:cs="仿宋_GB2312"/>
          <w:color w:val="auto"/>
          <w:kern w:val="0"/>
          <w:sz w:val="32"/>
          <w:szCs w:val="32"/>
          <w:lang w:val="en-US" w:eastAsia="zh-CN" w:bidi="ar"/>
        </w:rPr>
        <w:tab/>
      </w:r>
    </w:p>
    <w:p w14:paraId="7B72AE4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发放金额（大写）：</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人民币　　　　　　　　　　元整</w:t>
      </w:r>
    </w:p>
    <w:p w14:paraId="5374D55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发放金额：（小写）</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¥__________</w:t>
      </w:r>
    </w:p>
    <w:p w14:paraId="299CB60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发放方式：</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□现金　□银行转账　□一卡通　□其他______</w:t>
      </w:r>
    </w:p>
    <w:p w14:paraId="461E87C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发放日期：</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　　年　月　日</w:t>
      </w:r>
    </w:p>
    <w:p w14:paraId="70BCDF5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四、证明材料审核</w:t>
      </w:r>
      <w:r>
        <w:rPr>
          <w:rFonts w:hint="eastAsia" w:ascii="仿宋_GB2312" w:hAnsi="仿宋_GB2312" w:eastAsia="仿宋_GB2312" w:cs="仿宋_GB2312"/>
          <w:b/>
          <w:bCs/>
          <w:color w:val="auto"/>
          <w:kern w:val="0"/>
          <w:sz w:val="32"/>
          <w:szCs w:val="32"/>
          <w:lang w:val="en-US" w:eastAsia="zh-CN" w:bidi="ar"/>
        </w:rPr>
        <w:tab/>
      </w:r>
    </w:p>
    <w:p w14:paraId="3B43285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死亡证明：</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□已核验　□未提供</w:t>
      </w:r>
    </w:p>
    <w:p w14:paraId="4C273A5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家属关系证明：□已核验　□未提供</w:t>
      </w:r>
    </w:p>
    <w:p w14:paraId="6E09D27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领取人有效身份证件：</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□已核验　□未提供</w:t>
      </w:r>
    </w:p>
    <w:p w14:paraId="38E9A6B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其他材料：</w:t>
      </w:r>
      <w:r>
        <w:rPr>
          <w:rFonts w:hint="eastAsia" w:ascii="仿宋_GB2312" w:hAnsi="仿宋_GB2312" w:eastAsia="仿宋_GB2312" w:cs="仿宋_GB2312"/>
          <w:color w:val="auto"/>
          <w:kern w:val="0"/>
          <w:sz w:val="32"/>
          <w:szCs w:val="32"/>
          <w:lang w:val="en-US" w:eastAsia="zh-CN" w:bidi="ar"/>
        </w:rPr>
        <w:tab/>
      </w:r>
    </w:p>
    <w:p w14:paraId="7F2AED7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五、签字确认</w:t>
      </w:r>
      <w:r>
        <w:rPr>
          <w:rFonts w:hint="eastAsia" w:ascii="仿宋_GB2312" w:hAnsi="仿宋_GB2312" w:eastAsia="仿宋_GB2312" w:cs="仿宋_GB2312"/>
          <w:b/>
          <w:bCs/>
          <w:color w:val="auto"/>
          <w:kern w:val="0"/>
          <w:sz w:val="32"/>
          <w:szCs w:val="32"/>
          <w:lang w:val="en-US" w:eastAsia="zh-CN" w:bidi="ar"/>
        </w:rPr>
        <w:tab/>
      </w:r>
    </w:p>
    <w:p w14:paraId="5A00AD3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领取人签字：</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 xml:space="preserve">     </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 xml:space="preserve">日期：   </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年   　月　   日</w:t>
      </w:r>
    </w:p>
    <w:p w14:paraId="43D6BC8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发放人签字：</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 xml:space="preserve">   日期：   </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年   　月　   日</w:t>
      </w:r>
    </w:p>
    <w:p w14:paraId="4C66A57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审核人签字：</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 xml:space="preserve">   日期：   </w:t>
      </w:r>
      <w:r>
        <w:rPr>
          <w:rFonts w:hint="eastAsia" w:ascii="仿宋_GB2312" w:hAnsi="仿宋_GB2312" w:eastAsia="仿宋_GB2312" w:cs="仿宋_GB2312"/>
          <w:color w:val="auto"/>
          <w:kern w:val="0"/>
          <w:sz w:val="32"/>
          <w:szCs w:val="32"/>
          <w:lang w:val="en-US" w:eastAsia="zh-CN" w:bidi="ar"/>
        </w:rPr>
        <w:tab/>
      </w:r>
      <w:r>
        <w:rPr>
          <w:rFonts w:hint="eastAsia" w:ascii="仿宋_GB2312" w:hAnsi="仿宋_GB2312" w:eastAsia="仿宋_GB2312" w:cs="仿宋_GB2312"/>
          <w:color w:val="auto"/>
          <w:kern w:val="0"/>
          <w:sz w:val="32"/>
          <w:szCs w:val="32"/>
          <w:lang w:val="en-US" w:eastAsia="zh-CN" w:bidi="ar"/>
        </w:rPr>
        <w:t>年　   月　   日</w:t>
      </w:r>
    </w:p>
    <w:p w14:paraId="5DFAEB4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六、备注</w:t>
      </w:r>
      <w:r>
        <w:rPr>
          <w:rFonts w:hint="eastAsia" w:ascii="仿宋_GB2312" w:hAnsi="仿宋_GB2312" w:eastAsia="仿宋_GB2312" w:cs="仿宋_GB2312"/>
          <w:b/>
          <w:bCs/>
          <w:color w:val="auto"/>
          <w:kern w:val="0"/>
          <w:sz w:val="32"/>
          <w:szCs w:val="32"/>
          <w:lang w:val="en-US" w:eastAsia="zh-CN" w:bidi="ar"/>
        </w:rPr>
        <w:tab/>
      </w:r>
    </w:p>
    <w:p w14:paraId="2EB5554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32"/>
          <w:szCs w:val="32"/>
          <w:lang w:val="en-US" w:eastAsia="zh-CN" w:bidi="ar"/>
        </w:rPr>
      </w:pPr>
    </w:p>
    <w:p w14:paraId="4BCD4EA3">
      <w:pPr>
        <w:jc w:val="center"/>
        <w:rPr>
          <w:rFonts w:hint="eastAsia" w:ascii="方正小标宋简体" w:hAnsi="方正小标宋简体" w:eastAsia="方正小标宋简体" w:cs="方正小标宋简体"/>
          <w:color w:val="auto"/>
          <w:sz w:val="44"/>
          <w:szCs w:val="44"/>
          <w:lang w:val="en-US" w:eastAsia="zh-CN"/>
        </w:rPr>
      </w:pPr>
    </w:p>
    <w:p w14:paraId="0150E595">
      <w:pPr>
        <w:jc w:val="center"/>
        <w:rPr>
          <w:rFonts w:hint="eastAsia" w:ascii="方正小标宋简体" w:hAnsi="方正小标宋简体" w:eastAsia="方正小标宋简体" w:cs="方正小标宋简体"/>
          <w:color w:val="auto"/>
          <w:sz w:val="44"/>
          <w:szCs w:val="44"/>
          <w:lang w:val="en-US" w:eastAsia="zh-CN"/>
        </w:rPr>
      </w:pPr>
    </w:p>
    <w:p w14:paraId="2716F636">
      <w:pPr>
        <w:jc w:val="center"/>
        <w:rPr>
          <w:rFonts w:hint="eastAsia" w:ascii="方正小标宋简体" w:hAnsi="方正小标宋简体" w:eastAsia="方正小标宋简体" w:cs="方正小标宋简体"/>
          <w:color w:val="auto"/>
          <w:sz w:val="44"/>
          <w:szCs w:val="44"/>
          <w:lang w:val="en-US" w:eastAsia="zh-CN"/>
        </w:rPr>
      </w:pPr>
    </w:p>
    <w:p w14:paraId="4FB7A046">
      <w:pPr>
        <w:jc w:val="both"/>
        <w:rPr>
          <w:rFonts w:hint="eastAsia" w:ascii="方正小标宋简体" w:hAnsi="方正小标宋简体" w:eastAsia="方正小标宋简体" w:cs="方正小标宋简体"/>
          <w:color w:val="auto"/>
          <w:sz w:val="44"/>
          <w:szCs w:val="44"/>
          <w:lang w:val="en-US" w:eastAsia="zh-CN"/>
        </w:rPr>
      </w:pPr>
    </w:p>
    <w:sectPr>
      <w:pgSz w:w="11906" w:h="16838"/>
      <w:pgMar w:top="1984" w:right="1587" w:bottom="1587" w:left="1587" w:header="851" w:footer="992" w:gutter="0"/>
      <w:pgNumType w:fmt="decimal"/>
      <w:cols w:space="0" w:num="1"/>
      <w:rtlGutter w:val="0"/>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国标宋体-超大字符集扩">
    <w:panose1 w:val="00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4639A">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1C5CE1">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31C5CE1">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0"/>
  <w:bordersDoNotSurroundFooter w:val="0"/>
  <w:documentProtection w:enforcement="0"/>
  <w:defaultTabStop w:val="420"/>
  <w:drawingGridVerticalSpacing w:val="161"/>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I3NGFhZmNlNDBiYmE5YzZhMzAwZGYwMmQ4ZWJlZGQifQ=="/>
  </w:docVars>
  <w:rsids>
    <w:rsidRoot w:val="72E5339E"/>
    <w:rsid w:val="1FC4CE77"/>
    <w:rsid w:val="1FFFDEE6"/>
    <w:rsid w:val="2DE735D5"/>
    <w:rsid w:val="2EEF16AA"/>
    <w:rsid w:val="3337623E"/>
    <w:rsid w:val="34EC22F1"/>
    <w:rsid w:val="37CD7A18"/>
    <w:rsid w:val="37ECE217"/>
    <w:rsid w:val="38FF960B"/>
    <w:rsid w:val="3DC70A35"/>
    <w:rsid w:val="3E7C7A2A"/>
    <w:rsid w:val="3FAF6013"/>
    <w:rsid w:val="3FBEBAC4"/>
    <w:rsid w:val="3FFDD0E8"/>
    <w:rsid w:val="4EE74ECE"/>
    <w:rsid w:val="4F77B6AA"/>
    <w:rsid w:val="55F7F428"/>
    <w:rsid w:val="5ABE26ED"/>
    <w:rsid w:val="5BDF5EBE"/>
    <w:rsid w:val="5DDD2895"/>
    <w:rsid w:val="5E4F56B7"/>
    <w:rsid w:val="5F363824"/>
    <w:rsid w:val="5FDEEEC7"/>
    <w:rsid w:val="5FE5E6A7"/>
    <w:rsid w:val="5FEDDAE5"/>
    <w:rsid w:val="67CD14AF"/>
    <w:rsid w:val="67CF5971"/>
    <w:rsid w:val="69EF3A1D"/>
    <w:rsid w:val="6DBFA091"/>
    <w:rsid w:val="6F6F2D2A"/>
    <w:rsid w:val="6FD726C5"/>
    <w:rsid w:val="717E4E0C"/>
    <w:rsid w:val="727B51F9"/>
    <w:rsid w:val="72E5339E"/>
    <w:rsid w:val="72F78F9F"/>
    <w:rsid w:val="75696495"/>
    <w:rsid w:val="768E154D"/>
    <w:rsid w:val="76EFE3B9"/>
    <w:rsid w:val="77EF00B4"/>
    <w:rsid w:val="77FF4DE3"/>
    <w:rsid w:val="7A766109"/>
    <w:rsid w:val="7A7F6EC7"/>
    <w:rsid w:val="7BFB3E16"/>
    <w:rsid w:val="7D7E00E6"/>
    <w:rsid w:val="7DEE8BDB"/>
    <w:rsid w:val="7E31F57F"/>
    <w:rsid w:val="7EEB57AB"/>
    <w:rsid w:val="7FD2D7F1"/>
    <w:rsid w:val="7FDAA36E"/>
    <w:rsid w:val="7FDBD376"/>
    <w:rsid w:val="7FDFCA9E"/>
    <w:rsid w:val="7FEF22D1"/>
    <w:rsid w:val="7FFDD53B"/>
    <w:rsid w:val="A73F58AB"/>
    <w:rsid w:val="B4DF6C7F"/>
    <w:rsid w:val="BEFCFC06"/>
    <w:rsid w:val="BF7EC942"/>
    <w:rsid w:val="BFFE50C8"/>
    <w:rsid w:val="C2FF6830"/>
    <w:rsid w:val="CF7AE77C"/>
    <w:rsid w:val="CFCF05D8"/>
    <w:rsid w:val="D44A4956"/>
    <w:rsid w:val="D7B97D06"/>
    <w:rsid w:val="DB7FF589"/>
    <w:rsid w:val="DDFB03AC"/>
    <w:rsid w:val="DE3ECE5B"/>
    <w:rsid w:val="DFF61990"/>
    <w:rsid w:val="E5AF2095"/>
    <w:rsid w:val="EFF3B8DE"/>
    <w:rsid w:val="F3BD52A5"/>
    <w:rsid w:val="F3FFDD8D"/>
    <w:rsid w:val="F5B636BD"/>
    <w:rsid w:val="F69DEC35"/>
    <w:rsid w:val="F7DA94CE"/>
    <w:rsid w:val="F7FA70AD"/>
    <w:rsid w:val="FAFF38DB"/>
    <w:rsid w:val="FCEFF350"/>
    <w:rsid w:val="FCFFAD04"/>
    <w:rsid w:val="FD679510"/>
    <w:rsid w:val="FE9F6689"/>
    <w:rsid w:val="FEEF6DFD"/>
    <w:rsid w:val="FF868CD4"/>
    <w:rsid w:val="FFA38D89"/>
    <w:rsid w:val="FFAF4CD1"/>
    <w:rsid w:val="FFEE7666"/>
    <w:rsid w:val="FFEF5289"/>
    <w:rsid w:val="FFF690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rPr>
      <w:sz w:val="24"/>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0</Words>
  <Characters>0</Characters>
  <Lines>0</Lines>
  <Paragraphs>0</Paragraphs>
  <TotalTime>118</TotalTime>
  <ScaleCrop>false</ScaleCrop>
  <LinksUpToDate>false</LinksUpToDate>
  <CharactersWithSpaces>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2026-07-31T08:41:00Z</dcterms:created>
  <dc:creator>初心。</dc:creator>
  <cp:lastModifiedBy>YC</cp:lastModifiedBy>
  <cp:lastPrinted>2026-08-24T10:06:26Z</cp:lastPrinted>
  <dcterms:modified xsi:type="dcterms:W3CDTF">2026-08-24T11:47:25Z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CF1E6DCB88D940C0B4C687567B038E02_11</vt:lpwstr>
  </property>
</Properties>
</file>