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4B3A7">
      <w:pPr>
        <w:autoSpaceDE w:val="0"/>
        <w:autoSpaceDN w:val="0"/>
        <w:spacing w:before="0" w:after="0" w:line="239" w:lineRule="auto"/>
        <w:ind w:firstLine="0"/>
        <w:jc w:val="both"/>
        <w:rPr>
          <w:rFonts w:hint="eastAsia" w:ascii="宋体" w:hAnsi="宋体" w:eastAsia="宋体"/>
          <w:color w:val="000000"/>
          <w:sz w:val="46"/>
        </w:rPr>
      </w:pPr>
    </w:p>
    <w:p w14:paraId="7CC0DEE0">
      <w:pPr>
        <w:autoSpaceDE w:val="0"/>
        <w:autoSpaceDN w:val="0"/>
        <w:spacing w:before="0" w:after="0" w:line="239" w:lineRule="auto"/>
        <w:ind w:firstLine="0"/>
        <w:jc w:val="both"/>
        <w:rPr>
          <w:rFonts w:hint="eastAsia" w:ascii="宋体" w:hAnsi="宋体" w:eastAsia="宋体"/>
          <w:color w:val="000000"/>
          <w:sz w:val="27"/>
        </w:rPr>
      </w:pPr>
    </w:p>
    <w:p w14:paraId="5B6603C4">
      <w:pPr>
        <w:autoSpaceDE w:val="0"/>
        <w:autoSpaceDN w:val="0"/>
        <w:spacing w:before="0" w:after="0" w:line="235" w:lineRule="auto"/>
        <w:jc w:val="center"/>
        <w:rPr>
          <w:rFonts w:hint="eastAsia" w:ascii="方正小标宋简体" w:hAnsi="方正小标宋简体" w:eastAsia="方正小标宋简体" w:cs="方正小标宋简体"/>
          <w:b w:val="0"/>
          <w:bCs/>
          <w:color w:val="000000"/>
          <w:sz w:val="44"/>
          <w:lang w:eastAsia="zh-CN"/>
        </w:rPr>
      </w:pPr>
      <w:r>
        <w:rPr>
          <w:rFonts w:hint="eastAsia" w:ascii="方正小标宋简体" w:hAnsi="方正小标宋简体" w:eastAsia="方正小标宋简体" w:cs="方正小标宋简体"/>
          <w:b w:val="0"/>
          <w:bCs/>
          <w:color w:val="000000"/>
          <w:sz w:val="44"/>
          <w:lang w:eastAsia="zh-CN"/>
        </w:rPr>
        <w:t>肃南县</w:t>
      </w:r>
      <w:r>
        <w:rPr>
          <w:rFonts w:hint="eastAsia" w:ascii="方正小标宋简体" w:hAnsi="方正小标宋简体" w:eastAsia="方正小标宋简体" w:cs="方正小标宋简体"/>
          <w:b w:val="0"/>
          <w:bCs/>
          <w:color w:val="000000"/>
          <w:sz w:val="44"/>
        </w:rPr>
        <w:t>财政预算评审管理实施细则</w:t>
      </w:r>
      <w:r>
        <w:rPr>
          <w:rFonts w:hint="eastAsia" w:ascii="方正小标宋简体" w:hAnsi="方正小标宋简体" w:eastAsia="方正小标宋简体" w:cs="方正小标宋简体"/>
          <w:b w:val="0"/>
          <w:bCs/>
          <w:color w:val="000000"/>
          <w:sz w:val="44"/>
          <w:lang w:eastAsia="zh-CN"/>
        </w:rPr>
        <w:t>（</w:t>
      </w:r>
      <w:r>
        <w:rPr>
          <w:rFonts w:hint="eastAsia" w:ascii="方正小标宋简体" w:hAnsi="方正小标宋简体" w:eastAsia="方正小标宋简体" w:cs="方正小标宋简体"/>
          <w:b w:val="0"/>
          <w:bCs/>
          <w:color w:val="000000"/>
          <w:sz w:val="44"/>
          <w:lang w:val="en-US" w:eastAsia="zh-CN"/>
        </w:rPr>
        <w:t>征求意见稿</w:t>
      </w:r>
      <w:r>
        <w:rPr>
          <w:rFonts w:hint="eastAsia" w:ascii="方正小标宋简体" w:hAnsi="方正小标宋简体" w:eastAsia="方正小标宋简体" w:cs="方正小标宋简体"/>
          <w:b w:val="0"/>
          <w:bCs/>
          <w:color w:val="000000"/>
          <w:sz w:val="44"/>
          <w:lang w:eastAsia="zh-CN"/>
        </w:rPr>
        <w:t>）</w:t>
      </w:r>
    </w:p>
    <w:p w14:paraId="254A613A">
      <w:pPr>
        <w:autoSpaceDE w:val="0"/>
        <w:autoSpaceDN w:val="0"/>
        <w:spacing w:before="0" w:after="0" w:line="235" w:lineRule="auto"/>
        <w:jc w:val="center"/>
        <w:rPr>
          <w:rFonts w:hint="eastAsia" w:ascii="方正小标宋简体" w:hAnsi="方正小标宋简体" w:eastAsia="方正小标宋简体" w:cs="方正小标宋简体"/>
          <w:b w:val="0"/>
          <w:bCs/>
          <w:color w:val="000000"/>
          <w:sz w:val="44"/>
        </w:rPr>
      </w:pPr>
    </w:p>
    <w:p w14:paraId="49EEC0ED">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黑体" w:hAnsi="黑体" w:eastAsia="黑体" w:cs="黑体"/>
          <w:b w:val="0"/>
          <w:bCs/>
          <w:sz w:val="32"/>
          <w:szCs w:val="32"/>
        </w:rPr>
      </w:pPr>
      <w:r>
        <w:rPr>
          <w:rFonts w:hint="eastAsia" w:ascii="黑体" w:hAnsi="黑体" w:eastAsia="黑体" w:cs="黑体"/>
          <w:b w:val="0"/>
          <w:bCs/>
          <w:color w:val="000000"/>
          <w:sz w:val="32"/>
          <w:szCs w:val="32"/>
        </w:rPr>
        <w:t>第一章 总则</w:t>
      </w:r>
    </w:p>
    <w:p w14:paraId="62D8439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第一条</w:t>
      </w:r>
      <w:r>
        <w:rPr>
          <w:rFonts w:hint="eastAsia" w:ascii="仿宋_GB2312" w:hAnsi="仿宋_GB2312" w:eastAsia="仿宋_GB2312" w:cs="仿宋_GB2312"/>
          <w:color w:val="000000"/>
          <w:sz w:val="32"/>
          <w:szCs w:val="32"/>
        </w:rPr>
        <w:t xml:space="preserve"> 为加强部门单位预算管理，构建科学规范的预算评审体系，提升预算编制质量和财政资金使用效益，根据《中华人民共和国预算法》《中华人民共和国预算法实施条例》《国务院关于进一步深化预算管理制度改革的意见》（国发〔2021〕5号）、《财政部关于印发＜预算评审管理暂行办法＞的通知》（财预〔2023〕95号）以及《甘肃省预算评审管理实施细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《张掖市财政预算评审管理实施细则》（</w:t>
      </w:r>
      <w:r>
        <w:rPr>
          <w:rFonts w:hint="eastAsia" w:ascii="仿宋_GB2312" w:hAnsi="仿宋_GB2312" w:eastAsia="仿宋_GB2312" w:cs="仿宋_GB2312"/>
          <w:color w:val="000000"/>
          <w:sz w:val="32"/>
          <w:szCs w:val="32"/>
          <w:lang w:eastAsia="zh-CN"/>
        </w:rPr>
        <w:t>张</w:t>
      </w:r>
      <w:r>
        <w:rPr>
          <w:rFonts w:hint="eastAsia" w:ascii="仿宋_GB2312" w:hAnsi="仿宋_GB2312" w:eastAsia="仿宋_GB2312" w:cs="仿宋_GB2312"/>
          <w:color w:val="000000"/>
          <w:sz w:val="32"/>
          <w:szCs w:val="32"/>
        </w:rPr>
        <w:t>财办〔20</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号）等相关规定，结合我</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实际，制定本实施细则。</w:t>
      </w:r>
    </w:p>
    <w:p w14:paraId="5E30C275">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第二条</w:t>
      </w:r>
      <w:r>
        <w:rPr>
          <w:rFonts w:hint="eastAsia" w:ascii="仿宋_GB2312" w:hAnsi="仿宋_GB2312" w:eastAsia="仿宋_GB2312" w:cs="仿宋_GB2312"/>
          <w:color w:val="000000"/>
          <w:sz w:val="32"/>
          <w:szCs w:val="32"/>
        </w:rPr>
        <w:t xml:space="preserve"> 本实施细则适用于</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财政局对</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直部门（单位）预算中财政拨款项目开展的评审活动，包括项目资金计划核定、支出标准确定和使用、资金使用监管等，贯穿项目入库、预算编制、预算调整等环节。</w:t>
      </w:r>
    </w:p>
    <w:p w14:paraId="7E48F3E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第三条</w:t>
      </w:r>
      <w:r>
        <w:rPr>
          <w:rFonts w:hint="eastAsia" w:ascii="仿宋_GB2312" w:hAnsi="仿宋_GB2312" w:eastAsia="仿宋_GB2312" w:cs="仿宋_GB2312"/>
          <w:color w:val="000000"/>
          <w:sz w:val="32"/>
          <w:szCs w:val="32"/>
        </w:rPr>
        <w:t xml:space="preserve"> 开展预算评审工作应遵循以下原则：</w:t>
      </w:r>
    </w:p>
    <w:p w14:paraId="52C5509F">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（一）坚持依法依规。依据法律法规、政策文件及预算管理制度开展评审，确保评审程序合规、标准统一、结果合法。</w:t>
      </w:r>
    </w:p>
    <w:p w14:paraId="0C8459D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坚持融合高效。践行零基预算改革要求，采取“事前绩效评估＋预算评审”融合模式。统筹兼顾经济社会发展水平和财政承受能力，科学合理分析、评定项目实施必要性、可行性、完整性，分析资金计划方案合理性、合规性、经济性。</w:t>
      </w:r>
    </w:p>
    <w:p w14:paraId="1C659824">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（三）坚持客观公正。建立标准化评审流程，规范评审行</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确保评审过程透明、结果公平公正，着力提升评审公信力。</w:t>
      </w:r>
    </w:p>
    <w:p w14:paraId="6B25008C">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（四）坚持绩效导向。落实“过紧日子”要求和全面绩效管理规定，强化评审结果运用，推动财政资源优化配置，提升资金使用效益。</w:t>
      </w:r>
    </w:p>
    <w:p w14:paraId="4F45924F">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p>
    <w:p w14:paraId="54C30B6F">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黑体" w:hAnsi="黑体" w:eastAsia="黑体" w:cs="黑体"/>
          <w:b w:val="0"/>
          <w:bCs/>
          <w:sz w:val="32"/>
          <w:szCs w:val="32"/>
        </w:rPr>
      </w:pPr>
      <w:r>
        <w:rPr>
          <w:rFonts w:hint="eastAsia" w:ascii="黑体" w:hAnsi="黑体" w:eastAsia="黑体" w:cs="黑体"/>
          <w:b w:val="0"/>
          <w:bCs/>
          <w:color w:val="000000"/>
          <w:sz w:val="32"/>
          <w:szCs w:val="32"/>
        </w:rPr>
        <w:t>第二章 职责分工</w:t>
      </w:r>
    </w:p>
    <w:p w14:paraId="414DD11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第四条</w:t>
      </w:r>
      <w:r>
        <w:rPr>
          <w:rFonts w:hint="eastAsia" w:ascii="仿宋_GB2312" w:hAnsi="仿宋_GB2312" w:eastAsia="仿宋_GB2312" w:cs="仿宋_GB2312"/>
          <w:color w:val="000000"/>
          <w:sz w:val="32"/>
          <w:szCs w:val="32"/>
        </w:rPr>
        <w:t xml:space="preserve"> 财政部门职责：</w:t>
      </w:r>
    </w:p>
    <w:p w14:paraId="2B292499">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（一）制定预算评审业务规范、操作规程等工作规定，建立完善预算评审制度及支出标准；</w:t>
      </w:r>
    </w:p>
    <w:p w14:paraId="077F956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596" w:firstLineChars="200"/>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color w:val="000000"/>
          <w:spacing w:val="-11"/>
          <w:sz w:val="32"/>
          <w:szCs w:val="32"/>
        </w:rPr>
        <w:t>（二）明确评审项目范围，统筹评审资源，组织开展项目评审；</w:t>
      </w:r>
    </w:p>
    <w:p w14:paraId="5FB5AA1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（三）负责组织、监督预算评审的具体实施，组织运用评审结果；</w:t>
      </w:r>
    </w:p>
    <w:p w14:paraId="0C428CA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第五条</w:t>
      </w:r>
      <w:r>
        <w:rPr>
          <w:rFonts w:hint="eastAsia" w:ascii="仿宋_GB2312" w:hAnsi="仿宋_GB2312" w:eastAsia="仿宋_GB2312" w:cs="仿宋_GB2312"/>
          <w:color w:val="000000"/>
          <w:sz w:val="32"/>
          <w:szCs w:val="32"/>
        </w:rPr>
        <w:t xml:space="preserve"> 预算部门（单位）职责：</w:t>
      </w:r>
    </w:p>
    <w:p w14:paraId="2FBDC394">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（一）积极配合财政部门开展预算评审工作，按要求在规定时限内提供真实、合法、完整的评审资料，对资料真实性承担主体责任，并配合开展现场核实。</w:t>
      </w:r>
    </w:p>
    <w:p w14:paraId="3E7EA93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（二）及时反馈对初步评审结论的意见，根据财政评审意见调整项目预算和实施方案，科学合理运用评审结果。</w:t>
      </w:r>
    </w:p>
    <w:p w14:paraId="508B3CA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（三）根据评审结果，及时整理并建立本部门项目预算支出专用标准，强化评审结果复用，避免重复评审。</w:t>
      </w:r>
    </w:p>
    <w:p w14:paraId="4A70C71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第六条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县财政局</w:t>
      </w:r>
      <w:r>
        <w:rPr>
          <w:rFonts w:hint="eastAsia" w:ascii="仿宋_GB2312" w:hAnsi="仿宋_GB2312" w:eastAsia="仿宋_GB2312" w:cs="仿宋_GB2312"/>
          <w:color w:val="000000"/>
          <w:sz w:val="32"/>
          <w:szCs w:val="32"/>
        </w:rPr>
        <w:t>或受委托的第三方机构以及针对特殊专业项目组建的专家评审组作为评审实施主体，承担以下职责：</w:t>
      </w:r>
    </w:p>
    <w:p w14:paraId="4E45E7FD">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（一）严格按照评审流程和标准开展评审，确保评审工作时限性和专业性；</w:t>
      </w:r>
    </w:p>
    <w:p w14:paraId="2E1F182C">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（二）出具客观公正的评审报告，对报告内容的真实性、准确性负责，并做好解释说明工作；</w:t>
      </w:r>
    </w:p>
    <w:p w14:paraId="2274102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596" w:firstLineChars="200"/>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color w:val="000000"/>
          <w:spacing w:val="-11"/>
          <w:sz w:val="32"/>
          <w:szCs w:val="32"/>
        </w:rPr>
        <w:t>（三）落实质量管控要求，档案资料完整归档，以便监督检查。</w:t>
      </w:r>
    </w:p>
    <w:p w14:paraId="471DEE9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p>
    <w:p w14:paraId="130E2F27">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黑体" w:hAnsi="黑体" w:eastAsia="黑体" w:cs="黑体"/>
          <w:b w:val="0"/>
          <w:bCs/>
          <w:sz w:val="32"/>
          <w:szCs w:val="32"/>
        </w:rPr>
      </w:pPr>
      <w:r>
        <w:rPr>
          <w:rFonts w:hint="eastAsia" w:ascii="黑体" w:hAnsi="黑体" w:eastAsia="黑体" w:cs="黑体"/>
          <w:b w:val="0"/>
          <w:bCs/>
          <w:color w:val="000000"/>
          <w:sz w:val="32"/>
          <w:szCs w:val="32"/>
        </w:rPr>
        <w:t>第三章 评审范围</w:t>
      </w:r>
    </w:p>
    <w:p w14:paraId="0BEB30C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第七条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财政局结合年度预算编制重点，对符合以下条件之一的</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级预算项目，按照“即有即评”原则分批开展评审：</w:t>
      </w:r>
    </w:p>
    <w:p w14:paraId="24E3AC47">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（一）落实</w:t>
      </w:r>
      <w:bookmarkStart w:id="0" w:name="_GoBack"/>
      <w:bookmarkEnd w:id="0"/>
      <w:r>
        <w:rPr>
          <w:rFonts w:hint="eastAsia" w:ascii="仿宋_GB2312" w:hAnsi="仿宋_GB2312" w:eastAsia="仿宋_GB2312" w:cs="仿宋_GB2312"/>
          <w:color w:val="000000"/>
          <w:sz w:val="32"/>
          <w:szCs w:val="32"/>
        </w:rPr>
        <w:t>党中央、国务院、省委、省政府和市委、市政府</w:t>
      </w:r>
      <w:r>
        <w:rPr>
          <w:rFonts w:hint="eastAsia" w:ascii="仿宋_GB2312" w:hAnsi="仿宋_GB2312" w:eastAsia="仿宋_GB2312" w:cs="仿宋_GB2312"/>
          <w:color w:val="000000"/>
          <w:sz w:val="32"/>
          <w:szCs w:val="32"/>
          <w:lang w:eastAsia="zh-CN"/>
        </w:rPr>
        <w:t>、县委、县政府</w:t>
      </w:r>
      <w:r>
        <w:rPr>
          <w:rFonts w:hint="eastAsia" w:ascii="仿宋_GB2312" w:hAnsi="仿宋_GB2312" w:eastAsia="仿宋_GB2312" w:cs="仿宋_GB2312"/>
          <w:color w:val="000000"/>
          <w:sz w:val="32"/>
          <w:szCs w:val="32"/>
        </w:rPr>
        <w:t>重大决策部署，涉及重大改革、重要政策的项目；</w:t>
      </w:r>
    </w:p>
    <w:p w14:paraId="602F1DE9">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（二）专项业务费和运转类项目年度资金需求在50万元及以上的项目；</w:t>
      </w:r>
    </w:p>
    <w:p w14:paraId="780AD5FA">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（三）专业性强、技术复杂的项目，包括检验监测、信息化建设、新设机构开办、庆典会展、维修改造及新建改扩建等项目；</w:t>
      </w:r>
    </w:p>
    <w:p w14:paraId="587FE54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（四）巡视、巡察、审计、财会监督、预算绩效管理等发现问题需要评审的项目；</w:t>
      </w:r>
    </w:p>
    <w:p w14:paraId="7EC7BF22">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（五）社会关注度高的民生类项目；</w:t>
      </w:r>
    </w:p>
    <w:p w14:paraId="144BFE7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（六）需制定或完善支出标准的典型项目。</w:t>
      </w:r>
    </w:p>
    <w:p w14:paraId="78F8280A">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第八条</w:t>
      </w:r>
      <w:r>
        <w:rPr>
          <w:rFonts w:hint="eastAsia" w:ascii="仿宋_GB2312" w:hAnsi="仿宋_GB2312" w:eastAsia="仿宋_GB2312" w:cs="仿宋_GB2312"/>
          <w:color w:val="000000"/>
          <w:sz w:val="32"/>
          <w:szCs w:val="32"/>
        </w:rPr>
        <w:t xml:space="preserve"> 按照节约高效原则，对具备以下情形之一的项目，原则上无需开展评审：</w:t>
      </w:r>
    </w:p>
    <w:p w14:paraId="43F99E69">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（一）人员经费、公用经费等基本支出项目；</w:t>
      </w:r>
    </w:p>
    <w:p w14:paraId="4F91BA15">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（二）政策文件明确资金数额的项目；</w:t>
      </w:r>
    </w:p>
    <w:p w14:paraId="180827AF">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（三）按规定由项目主管部门（指负责专项资金管理并审核相关单位申报项目的部门）负责评审并批复立项、可行性研究报告、任务书等文件，且财政部门对结果认可的项目；</w:t>
      </w:r>
    </w:p>
    <w:p w14:paraId="5D205C2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（四）按财政部门规定或认定的支出标准和任务量可直接测算资金需求的项目；</w:t>
      </w:r>
    </w:p>
    <w:p w14:paraId="511984F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（五）已开展过预算评审且项目支出总额或年度资金需求未增加的项目；</w:t>
      </w:r>
    </w:p>
    <w:p w14:paraId="72D50D98">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（六）实施周期紧急，且市</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委</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政府明确重点保障的应急项目；</w:t>
      </w:r>
    </w:p>
    <w:p w14:paraId="6D50C5C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（七）项目内容敏感、知悉范围有严格限定的项目；</w:t>
      </w:r>
    </w:p>
    <w:p w14:paraId="55CBBCE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（八）</w:t>
      </w:r>
      <w:r>
        <w:rPr>
          <w:rFonts w:hint="eastAsia" w:ascii="仿宋_GB2312" w:hAnsi="仿宋_GB2312" w:eastAsia="仿宋_GB2312" w:cs="仿宋_GB2312"/>
          <w:color w:val="000000"/>
          <w:sz w:val="32"/>
          <w:szCs w:val="32"/>
          <w:lang w:val="en-US" w:eastAsia="zh-CN"/>
        </w:rPr>
        <w:t>上级财政或部门</w:t>
      </w:r>
      <w:r>
        <w:rPr>
          <w:rFonts w:hint="eastAsia" w:ascii="仿宋_GB2312" w:hAnsi="仿宋_GB2312" w:eastAsia="仿宋_GB2312" w:cs="仿宋_GB2312"/>
          <w:color w:val="000000"/>
          <w:sz w:val="32"/>
          <w:szCs w:val="32"/>
        </w:rPr>
        <w:t>已评审或明确由</w:t>
      </w:r>
      <w:r>
        <w:rPr>
          <w:rFonts w:hint="eastAsia" w:ascii="仿宋_GB2312" w:hAnsi="仿宋_GB2312" w:eastAsia="仿宋_GB2312" w:cs="仿宋_GB2312"/>
          <w:color w:val="000000"/>
          <w:sz w:val="32"/>
          <w:szCs w:val="32"/>
          <w:lang w:val="en-US" w:eastAsia="zh-CN"/>
        </w:rPr>
        <w:t>上级财政或部门</w:t>
      </w:r>
      <w:r>
        <w:rPr>
          <w:rFonts w:hint="eastAsia" w:ascii="仿宋_GB2312" w:hAnsi="仿宋_GB2312" w:eastAsia="仿宋_GB2312" w:cs="仿宋_GB2312"/>
          <w:color w:val="000000"/>
          <w:sz w:val="32"/>
          <w:szCs w:val="32"/>
        </w:rPr>
        <w:t>评审的项目；</w:t>
      </w:r>
    </w:p>
    <w:p w14:paraId="40B64220">
      <w:pPr>
        <w:keepNext w:val="0"/>
        <w:keepLines w:val="0"/>
        <w:pageBreakBefore w:val="0"/>
        <w:widowControl w:val="0"/>
        <w:kinsoku/>
        <w:wordWrap/>
        <w:overflowPunct/>
        <w:topLinePunct w:val="0"/>
        <w:autoSpaceDE w:val="0"/>
        <w:autoSpaceDN w:val="0"/>
        <w:bidi w:val="0"/>
        <w:adjustRightInd/>
        <w:snapToGrid/>
        <w:spacing w:before="0" w:after="0" w:line="56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（九）项目支出总额20万元以下（不含20万）的项目。</w:t>
      </w:r>
    </w:p>
    <w:p w14:paraId="773C7F9F">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p>
    <w:p w14:paraId="091B9C56">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黑体" w:hAnsi="黑体" w:eastAsia="黑体" w:cs="黑体"/>
          <w:b w:val="0"/>
          <w:bCs/>
          <w:sz w:val="32"/>
          <w:szCs w:val="32"/>
        </w:rPr>
      </w:pPr>
      <w:r>
        <w:rPr>
          <w:rFonts w:hint="eastAsia" w:ascii="黑体" w:hAnsi="黑体" w:eastAsia="黑体" w:cs="黑体"/>
          <w:b w:val="0"/>
          <w:bCs/>
          <w:color w:val="000000"/>
          <w:sz w:val="32"/>
          <w:szCs w:val="32"/>
        </w:rPr>
        <w:t>第四章 评审内容与方法</w:t>
      </w:r>
    </w:p>
    <w:p w14:paraId="09BFFA0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第九条</w:t>
      </w:r>
      <w:r>
        <w:rPr>
          <w:rFonts w:hint="eastAsia" w:ascii="仿宋_GB2312" w:hAnsi="仿宋_GB2312" w:eastAsia="仿宋_GB2312" w:cs="仿宋_GB2312"/>
          <w:color w:val="000000"/>
          <w:sz w:val="32"/>
          <w:szCs w:val="32"/>
        </w:rPr>
        <w:t xml:space="preserve"> 预算评审要将项目的必要性、可行性、完整性、合规性、合理性、经济性以及绩效目标、支出标准等作为重点审核内容，其中延续性项目的评审应当将以前年度的预算执行情况、绩效评价情况等作为重要参考。</w:t>
      </w:r>
    </w:p>
    <w:p w14:paraId="3BF02FDC">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（一）项目的必要性、可行性、完整性</w:t>
      </w:r>
    </w:p>
    <w:p w14:paraId="620ED58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1．必要性。主要是项目立项依据是否充分，项目内容是否与党中央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国务院、省委省政府、市委市政府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县委县政府</w:t>
      </w:r>
      <w:r>
        <w:rPr>
          <w:rFonts w:hint="eastAsia" w:ascii="仿宋_GB2312" w:hAnsi="仿宋_GB2312" w:eastAsia="仿宋_GB2312" w:cs="仿宋_GB2312"/>
          <w:color w:val="000000"/>
          <w:sz w:val="32"/>
          <w:szCs w:val="32"/>
        </w:rPr>
        <w:t>有关重大决策部署、法律法规和有关行业政策、发展规划相符；与部门单位职能职责衔接是否紧密；与其他项目是否存在交叉重复；延续性项目需重点审核上年度绩效完成情况及继续实施的必要性。</w:t>
      </w:r>
    </w:p>
    <w:p w14:paraId="0CAD6F0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2．可行性。主要是项目实施方案是否具体可行、任务是否明确、实施条件（人员、场地、技术）是否具备，项目预算规模与计划方案、目标任务是否匹配，预期投资进度与预期工作进展是否匹配。</w:t>
      </w:r>
    </w:p>
    <w:p w14:paraId="3612EECD">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3．完整性。主要是项目立项是否按规定履行审批等相关程序，内容范围、目标任务、规模标准是否清晰明确，实施方案、测算依据、合同意向等申报资料是否齐全。</w:t>
      </w:r>
    </w:p>
    <w:p w14:paraId="27BC0FE5">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（二）项目预算的合规性、合理性、经济性</w:t>
      </w:r>
    </w:p>
    <w:p w14:paraId="58E2C2A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1．合规性。主要是项目内容是否符合政策法规及资金管理办法等，是否落实政府采购相关规定。</w:t>
      </w:r>
    </w:p>
    <w:p w14:paraId="5FEF0337">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2．合理性。主要是项目是否与经济社会发展水平、财政可承受能力相适应，支出内容是否真实，经费测算依据是否充分、方法是否得当等。</w:t>
      </w:r>
    </w:p>
    <w:p w14:paraId="6D8D7F7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主要是项目实施方案是否界定政府支出边界，是否落实“过紧日子”要求；厉行勤俭节约、抵制铺张浪费，是否有利于降低成本；设备及工器具购置、服务采购、布置布展等是否超标准超范围；资金需求是否按照标准测算，是否精打细算。</w:t>
      </w:r>
    </w:p>
    <w:p w14:paraId="62341F49">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（三）绩效目标审核。主要是对绩效目标的完整性、相关性、适当性、可行性、与资金需求的匹配性审核。</w:t>
      </w:r>
    </w:p>
    <w:p w14:paraId="5C6F4919">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（四）支出标准审核。审核是否参照现有支出标准编制预算，无标准的是否按市场公允价格或行业标准测算。</w:t>
      </w:r>
    </w:p>
    <w:p w14:paraId="5D13F747">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第十条</w:t>
      </w:r>
      <w:r>
        <w:rPr>
          <w:rFonts w:hint="eastAsia" w:ascii="仿宋_GB2312" w:hAnsi="仿宋_GB2312" w:eastAsia="仿宋_GB2312" w:cs="仿宋_GB2312"/>
          <w:color w:val="000000"/>
          <w:sz w:val="32"/>
          <w:szCs w:val="32"/>
        </w:rPr>
        <w:t xml:space="preserve"> 围绕项目支出预算评审内容，综合运用政策评估、成本效益分析、市场询价、专家咨询、现场核实、数据分析、风险导向审核等方法开展评审。</w:t>
      </w:r>
    </w:p>
    <w:p w14:paraId="1DDA7D2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1．政策评估。以国家及地方产业规划、审批办法为依据，核查项目与产业定位、审批流程、准入标准的符合性，确保项目合法合规。</w:t>
      </w:r>
    </w:p>
    <w:p w14:paraId="60A642A4">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2．成本效益分析。核算总成本，同步测算项目预期效益，重点评估成本与效益的匹配性，判断预算编制的合理性，避免成本虚报、预算不足导致的资源浪费，防止效益高估引发的投入与产出失衡。</w:t>
      </w:r>
    </w:p>
    <w:p w14:paraId="63228B9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3．市场询价。对设备购置、服务采购等项目，向3家及以上合格供应商调研询价、比价，核实价格合理性。</w:t>
      </w:r>
    </w:p>
    <w:p w14:paraId="406A815C">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4．专家咨询。针对技术复杂项目（如科研技术开发、高端设备采购），组织行业专家论证技术可行性、方案先进性，核查技术方案与预算是否匹配，评估技术对预算的影响，确保预算科学可控。</w:t>
      </w:r>
    </w:p>
    <w:p w14:paraId="0C04EE7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5．现场核实。对基建、维修改造等实体项目，现场测量、核查场地条件与施工环境，确保申报内容与实际一致。</w:t>
      </w:r>
    </w:p>
    <w:p w14:paraId="424E5AFA">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6．数据分析。运用历史项目数据、绩效结果，开展横向（同类型项目）与纵向（历年项目）比较，识别异常波动。</w:t>
      </w:r>
    </w:p>
    <w:p w14:paraId="2972D779">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7．风险导向审核。针对1000万元及以上大额资金、复杂合作模式（如PPP、EPC等）、高风险领域项目，先识别政策、资金、履约等风险点，再开展针对性审核。</w:t>
      </w:r>
    </w:p>
    <w:p w14:paraId="6B4425E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第十一条</w:t>
      </w:r>
      <w:r>
        <w:rPr>
          <w:rFonts w:hint="eastAsia" w:ascii="仿宋_GB2312" w:hAnsi="仿宋_GB2312" w:eastAsia="仿宋_GB2312" w:cs="仿宋_GB2312"/>
          <w:color w:val="000000"/>
          <w:sz w:val="32"/>
          <w:szCs w:val="32"/>
        </w:rPr>
        <w:t xml:space="preserve"> 预算评审依据：</w:t>
      </w:r>
    </w:p>
    <w:p w14:paraId="199EC4A8">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（一）国家和省、市相关法律法规；</w:t>
      </w:r>
    </w:p>
    <w:p w14:paraId="6675A5F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（二）国民经济和社会发展政策和规划；</w:t>
      </w:r>
    </w:p>
    <w:p w14:paraId="10AE9118">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（三）财政部门或财政部门会同相关部门出台的资金管理、预算管理、国有资产管理办法等；</w:t>
      </w:r>
    </w:p>
    <w:p w14:paraId="6413037C">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（四）部门职能职责、中长期事业发展规划，以及年度工作计划、重点工作安排；</w:t>
      </w:r>
    </w:p>
    <w:p w14:paraId="2E99A027">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（五）项目立项依据文件，项目实施方案，合同及相关制度文件等；</w:t>
      </w:r>
    </w:p>
    <w:p w14:paraId="3CB96C97">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（六）相关历史数据、行业标准、计划标准、支出标准等；</w:t>
      </w:r>
    </w:p>
    <w:p w14:paraId="58EA4675">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（七）以前年度资金使用情况、绩效评价结果等；</w:t>
      </w:r>
    </w:p>
    <w:p w14:paraId="4296860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（八）其他项目相关的依据材料。</w:t>
      </w:r>
    </w:p>
    <w:p w14:paraId="5D08C24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p>
    <w:p w14:paraId="6DB2EC44">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黑体" w:hAnsi="黑体" w:eastAsia="黑体" w:cs="黑体"/>
          <w:b w:val="0"/>
          <w:bCs/>
          <w:sz w:val="32"/>
          <w:szCs w:val="32"/>
        </w:rPr>
      </w:pPr>
      <w:r>
        <w:rPr>
          <w:rFonts w:hint="eastAsia" w:ascii="黑体" w:hAnsi="黑体" w:eastAsia="黑体" w:cs="黑体"/>
          <w:b w:val="0"/>
          <w:bCs/>
          <w:color w:val="000000"/>
          <w:sz w:val="32"/>
          <w:szCs w:val="32"/>
        </w:rPr>
        <w:t>第五章 评审组织管理</w:t>
      </w:r>
    </w:p>
    <w:p w14:paraId="5F409C5D">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第十二条</w:t>
      </w:r>
      <w:r>
        <w:rPr>
          <w:rFonts w:hint="eastAsia" w:ascii="仿宋_GB2312" w:hAnsi="仿宋_GB2312" w:eastAsia="仿宋_GB2312" w:cs="仿宋_GB2312"/>
          <w:color w:val="000000"/>
          <w:sz w:val="32"/>
          <w:szCs w:val="32"/>
        </w:rPr>
        <w:t xml:space="preserve"> 建立</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级项目预算评审计划制度，每年预算批复后10个工作日内、7月15日前、9月15日前，集中征集并确定评审计划，分批次开展评审。原则上纳入评审计划的优先评审，未纳入计划的不予评审。特殊事项可随报随补纳入评审计划。</w:t>
      </w:r>
    </w:p>
    <w:p w14:paraId="6E75F0BD">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第十三条</w:t>
      </w:r>
      <w:r>
        <w:rPr>
          <w:rFonts w:hint="eastAsia" w:ascii="仿宋_GB2312" w:hAnsi="仿宋_GB2312" w:eastAsia="仿宋_GB2312" w:cs="仿宋_GB2312"/>
          <w:color w:val="000000"/>
          <w:sz w:val="32"/>
          <w:szCs w:val="32"/>
        </w:rPr>
        <w:t xml:space="preserve"> 围绕项目全生命周期管理要求，通过“评估＋评审”“核查＋评审”等方式开展预算评审，统筹做好事前绩效评估与预算评审的协同推进。结合工作实际促进评估评审工作融合，拓展预算评审深度与广度。事前绩效评估未通过的项目，不启动后续预算评审；事前绩效评估已对项目资金需求出具明确结论的，视同已开展预算评审。</w:t>
      </w:r>
    </w:p>
    <w:p w14:paraId="0710AFF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第十四条</w:t>
      </w:r>
      <w:r>
        <w:rPr>
          <w:rFonts w:hint="eastAsia" w:ascii="仿宋_GB2312" w:hAnsi="仿宋_GB2312" w:eastAsia="仿宋_GB2312" w:cs="仿宋_GB2312"/>
          <w:color w:val="000000"/>
          <w:sz w:val="32"/>
          <w:szCs w:val="32"/>
        </w:rPr>
        <w:t xml:space="preserve"> 开展预算评审的一般程序包括项目受理、制定方案、资料初审、实质评审、报告及归档。</w:t>
      </w:r>
    </w:p>
    <w:p w14:paraId="4BDF668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项目受理。预算评审计划确定后，相关资金管理科室应及时通知项目预算部门（单位）做好评审准备工作。项目预算部门（单位）需积极配合，在规定时限内按要求提供项目立项依据、实施方案、预算文本、支出标准及绩效目标等相关评审资料，并对所提供资料的真实性、合法性、完整性负责。市财政局相关资金管理科室应加强对项目单位前期准备工作的指导，对评审资料、预算文本不符合预算评审规范的，暂不启动评审程序。</w:t>
      </w:r>
    </w:p>
    <w:p w14:paraId="6D754FA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2．制定方案。</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根据项目金额、技术复杂度、时间紧迫度、风险敏感度四个维度，从“财政自评”“财政＋机构”“财政＋专家”三种评审模式中择优确定评审方式；评审实施主体根据评审计划要求制定评审方案，包括但不限于基本情况、评审重点关注内容、评审方法和依据、评审工作组成员、评审时间及进度安排等。</w:t>
      </w:r>
    </w:p>
    <w:p w14:paraId="716CF1F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3．资料初审。评审实施主体根据预算评审实际情况开展资料初审，资料齐全之日起3个工作日内完成并形成初审意见，对需要补充资料的，应书面通知预算部门（单位）于5个工作日内补齐。</w:t>
      </w:r>
    </w:p>
    <w:p w14:paraId="4B7613D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4．实质评审。评审实施主体根据评审方案开展现场踏勘、项目核查等工作，</w:t>
      </w:r>
      <w:r>
        <w:rPr>
          <w:rFonts w:hint="eastAsia" w:ascii="仿宋_GB2312" w:hAnsi="仿宋_GB2312" w:eastAsia="仿宋_GB2312" w:cs="仿宋_GB2312"/>
          <w:color w:val="000000"/>
          <w:sz w:val="32"/>
          <w:szCs w:val="32"/>
          <w:lang w:val="en-US" w:eastAsia="zh-CN"/>
        </w:rPr>
        <w:t>同时，因肃南地域广阔，还需</w:t>
      </w:r>
      <w:r>
        <w:rPr>
          <w:rFonts w:hint="eastAsia" w:ascii="仿宋_GB2312" w:hAnsi="仿宋_GB2312" w:eastAsia="仿宋_GB2312" w:cs="仿宋_GB2312"/>
          <w:color w:val="000000"/>
          <w:sz w:val="32"/>
          <w:szCs w:val="32"/>
        </w:rPr>
        <w:t>评审实施主体</w:t>
      </w:r>
      <w:r>
        <w:rPr>
          <w:rFonts w:hint="eastAsia" w:ascii="仿宋_GB2312" w:hAnsi="仿宋_GB2312" w:eastAsia="仿宋_GB2312" w:cs="仿宋_GB2312"/>
          <w:color w:val="000000"/>
          <w:sz w:val="32"/>
          <w:szCs w:val="32"/>
          <w:lang w:val="en-US" w:eastAsia="zh-CN"/>
        </w:rPr>
        <w:t>掌握各乡镇比邻地区材料、人工等指导价，</w:t>
      </w:r>
      <w:r>
        <w:rPr>
          <w:rFonts w:hint="eastAsia" w:ascii="仿宋_GB2312" w:hAnsi="仿宋_GB2312" w:eastAsia="仿宋_GB2312" w:cs="仿宋_GB2312"/>
          <w:color w:val="000000"/>
          <w:sz w:val="32"/>
          <w:szCs w:val="32"/>
        </w:rPr>
        <w:t>并加强信息沟通；对重大项目或技术复杂项目，须组织现场核实或专家论证，其中现场核实参与评审人员不少于2名。初步评审结论形成后，评审实施主体应及时书面征求预算部门（单位）意见，预算部门（单位）须在3个工作日内反馈书面意见，逾期未反馈的视为无异议。评审实施主体根据反馈意见对评审结论进行完善，并出具评审报告。对评审报告存在较大争议或发现评审质量存在严重问题的，由评审实施主体进行复审研判，或由市财政局选取其他评审机构重新评审。</w:t>
      </w:r>
    </w:p>
    <w:p w14:paraId="28F053BD">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报告及归档。评审报告应包含项目基本情况、评审依据、评审结论、存在问题及相关建议，对项目申报单位签署的意见或需特别说明的事项，应在报告中一并列明。报告出具完毕后，评审实施主体应及时整理评审资料，建立规范的评审档案，确保所有评审要件完整存入档案。</w:t>
      </w:r>
    </w:p>
    <w:p w14:paraId="59468EC7">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599" w:firstLineChars="200"/>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b/>
          <w:color w:val="000000"/>
          <w:spacing w:val="-11"/>
          <w:sz w:val="32"/>
          <w:szCs w:val="32"/>
        </w:rPr>
        <w:t>第十五条</w:t>
      </w:r>
      <w:r>
        <w:rPr>
          <w:rFonts w:hint="eastAsia" w:ascii="仿宋_GB2312" w:hAnsi="仿宋_GB2312" w:eastAsia="仿宋_GB2312" w:cs="仿宋_GB2312"/>
          <w:color w:val="000000"/>
          <w:spacing w:val="-11"/>
          <w:sz w:val="32"/>
          <w:szCs w:val="32"/>
        </w:rPr>
        <w:t xml:space="preserve"> 评审时限自满足评审要求之日起计算，具体时限如下：</w:t>
      </w:r>
    </w:p>
    <w:p w14:paraId="311A0FC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596" w:firstLineChars="200"/>
        <w:jc w:val="both"/>
        <w:textAlignment w:val="auto"/>
        <w:rPr>
          <w:rFonts w:hint="eastAsia" w:ascii="仿宋_GB2312" w:hAnsi="仿宋_GB2312" w:eastAsia="仿宋_GB2312" w:cs="仿宋_GB2312"/>
          <w:spacing w:val="-11"/>
          <w:sz w:val="32"/>
          <w:szCs w:val="32"/>
          <w:shd w:val="clear" w:color="auto" w:fill="auto"/>
        </w:rPr>
      </w:pPr>
      <w:r>
        <w:rPr>
          <w:rFonts w:hint="eastAsia" w:ascii="仿宋_GB2312" w:hAnsi="仿宋_GB2312" w:eastAsia="仿宋_GB2312" w:cs="仿宋_GB2312"/>
          <w:color w:val="000000"/>
          <w:spacing w:val="-11"/>
          <w:sz w:val="32"/>
          <w:szCs w:val="32"/>
          <w:shd w:val="clear" w:color="auto" w:fill="auto"/>
        </w:rPr>
        <w:t>（一）金额1000万元以下（含）的，原则上10个工作日内完成；</w:t>
      </w:r>
    </w:p>
    <w:p w14:paraId="1A41817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（二）金额1000万-5000万元（含）的，原则上15个工作日内完成；</w:t>
      </w:r>
    </w:p>
    <w:p w14:paraId="6233EF69">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（三）金额5000万元-1亿元（含）的，原则上20个工作日内完成；</w:t>
      </w:r>
    </w:p>
    <w:p w14:paraId="2F8C19E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（四）金额1亿元以上的，原则上30个工作日内完成；</w:t>
      </w:r>
    </w:p>
    <w:p w14:paraId="685A6EC2">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对于因特殊原因需要缩短评审时限的项目，项目建设单位应提前向</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财政局提出书面申请，说明原因并提供相关证明材料，经批准后可适当缩短评审时限。</w:t>
      </w:r>
    </w:p>
    <w:p w14:paraId="2A7E5A6A">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第十六条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加强预算评审工作的保密管理，严控涉密项目知悉范围，严格涉密资料使用、保存、复制和销毁管理。参与涉密项目评审的单位、第三方机构、专家需具备国家保密法律法规要求的资质，满足相应场地、人员、设备、档案管理等条件，按照有关规定履行签署保密协议或保密承诺书等保密管理程序。</w:t>
      </w:r>
    </w:p>
    <w:p w14:paraId="0B84EF7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受委托的第三方机构评审人员和评审专家不得对外透露评审工作中涉及的单位和项目相关信息。</w:t>
      </w:r>
    </w:p>
    <w:p w14:paraId="42591D8C">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p>
    <w:p w14:paraId="766D1E82">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仿宋_GB2312" w:hAnsi="仿宋_GB2312" w:eastAsia="仿宋_GB2312" w:cs="仿宋_GB2312"/>
          <w:sz w:val="32"/>
          <w:szCs w:val="32"/>
        </w:rPr>
      </w:pPr>
      <w:r>
        <w:rPr>
          <w:rFonts w:hint="eastAsia" w:ascii="黑体" w:hAnsi="黑体" w:eastAsia="黑体" w:cs="黑体"/>
          <w:b w:val="0"/>
          <w:bCs/>
          <w:color w:val="000000"/>
          <w:sz w:val="32"/>
          <w:szCs w:val="32"/>
        </w:rPr>
        <w:t>第六章 评审机构和专家管理</w:t>
      </w:r>
    </w:p>
    <w:p w14:paraId="2D3AD8E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第十七条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财政局委托第三方机构从事评审的，应严格按照政府采购、政府购买服务的制度和要求择优选取专业能力突出、机构管理规范、执业信誉较好的第三方机构参与评审工作，向第三方机构付费应符合相关规定。</w:t>
      </w:r>
    </w:p>
    <w:p w14:paraId="008CB93D">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接受委托的第三方机构应在委托方指导下独立开展评审工作，并对出具的评审报告承担相应法律责任。第三方机构与项目申报单位有利益关联关系，或评审项目可能影响第三方机构利益的，应主动回避，不得参与相关项目评审。第三方机构参与相关项目评审后，不得向项目申报单位承揽设计、造价、招标代理、监理、审计等有利益关联关系的业务。同一第三方机构不得接受不同主体委托开展对同一项目的论证、评审等工作。</w:t>
      </w:r>
      <w:r>
        <w:rPr>
          <w:rFonts w:hint="eastAsia" w:ascii="仿宋_GB2312" w:hAnsi="仿宋_GB2312" w:eastAsia="仿宋_GB2312" w:cs="仿宋_GB2312"/>
          <w:color w:val="000000"/>
          <w:sz w:val="32"/>
          <w:szCs w:val="32"/>
          <w:lang w:val="en-US" w:eastAsia="zh-CN"/>
        </w:rPr>
        <w:t xml:space="preserve">   </w:t>
      </w:r>
    </w:p>
    <w:p w14:paraId="1A97EF7D">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第十八条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财政局加强对参与预算评审第三方机构的指导、管理和培训。</w:t>
      </w:r>
    </w:p>
    <w:p w14:paraId="189A1002">
      <w:pPr>
        <w:keepNext w:val="0"/>
        <w:keepLines w:val="0"/>
        <w:pageBreakBefore w:val="0"/>
        <w:widowControl w:val="0"/>
        <w:kinsoku/>
        <w:wordWrap/>
        <w:overflowPunct/>
        <w:topLinePunct w:val="0"/>
        <w:autoSpaceDE w:val="0"/>
        <w:autoSpaceDN w:val="0"/>
        <w:bidi w:val="0"/>
        <w:adjustRightInd/>
        <w:snapToGrid/>
        <w:spacing w:before="0" w:after="0" w:line="560" w:lineRule="exact"/>
        <w:ind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第十九条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根据工作需要建立预算评审专家库，并建立专家遴选、考评、退出等机制。财政部门或评审机构组织专家评审的，原则上应从专家库中择优筛选符合相关专业要求的专家。接受委托的专家应客观公正开展工作，对出具的评审意见负责。专家与项目申报单位存在聘用、合作等可能影响评审公正性关系的，应主动回避，不得参与相关项目评审。同一专家不得接受不同主体委托参与同一项目的论证、评审等工作。</w:t>
      </w:r>
    </w:p>
    <w:p w14:paraId="7FAF7518">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p>
    <w:p w14:paraId="66F6FD24">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黑体" w:hAnsi="黑体" w:eastAsia="黑体" w:cs="黑体"/>
          <w:b w:val="0"/>
          <w:bCs/>
          <w:sz w:val="32"/>
          <w:szCs w:val="32"/>
        </w:rPr>
      </w:pPr>
      <w:r>
        <w:rPr>
          <w:rFonts w:hint="eastAsia" w:ascii="黑体" w:hAnsi="黑体" w:eastAsia="黑体" w:cs="黑体"/>
          <w:b w:val="0"/>
          <w:bCs/>
          <w:color w:val="000000"/>
          <w:sz w:val="32"/>
          <w:szCs w:val="32"/>
        </w:rPr>
        <w:t>第七章 评审结果运用</w:t>
      </w:r>
    </w:p>
    <w:p w14:paraId="06F2B961">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第二十条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财政局加强预算评审结果运用，结果运用的方式包括：</w:t>
      </w:r>
    </w:p>
    <w:p w14:paraId="7429E12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color w:val="000000"/>
          <w:sz w:val="32"/>
          <w:szCs w:val="32"/>
        </w:rPr>
        <w:t>（一）将评审结果应用于预算安排。</w:t>
      </w:r>
      <w:r>
        <w:rPr>
          <w:rFonts w:hint="eastAsia" w:ascii="仿宋_GB2312" w:hAnsi="仿宋_GB2312" w:eastAsia="仿宋_GB2312" w:cs="仿宋_GB2312"/>
          <w:b w:val="0"/>
          <w:bCs/>
          <w:color w:val="000000"/>
          <w:sz w:val="32"/>
          <w:szCs w:val="32"/>
          <w:lang w:eastAsia="zh-CN"/>
        </w:rPr>
        <w:t>县</w:t>
      </w:r>
      <w:r>
        <w:rPr>
          <w:rFonts w:hint="eastAsia" w:ascii="仿宋_GB2312" w:hAnsi="仿宋_GB2312" w:eastAsia="仿宋_GB2312" w:cs="仿宋_GB2312"/>
          <w:b w:val="0"/>
          <w:bCs/>
          <w:color w:val="000000"/>
          <w:sz w:val="32"/>
          <w:szCs w:val="32"/>
        </w:rPr>
        <w:t>财政局将评审结论作为</w:t>
      </w:r>
      <w:r>
        <w:rPr>
          <w:rFonts w:hint="eastAsia" w:ascii="仿宋_GB2312" w:hAnsi="仿宋_GB2312" w:eastAsia="仿宋_GB2312" w:cs="仿宋_GB2312"/>
          <w:color w:val="000000"/>
          <w:sz w:val="32"/>
          <w:szCs w:val="32"/>
        </w:rPr>
        <w:t>审核预算申请的参考依据。对评审通过的项目参考评审金额安排预算；对评审发现问题的项目，整改到位后再纳入预算；对未通过评审的项目，一律不予安排预算。</w:t>
      </w:r>
    </w:p>
    <w:p w14:paraId="43332381">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color w:val="000000"/>
          <w:sz w:val="32"/>
          <w:szCs w:val="32"/>
        </w:rPr>
        <w:t>（二）提高预算部门（单位）预算编报质量。预算部门（单位）</w:t>
      </w:r>
      <w:r>
        <w:rPr>
          <w:rFonts w:hint="eastAsia" w:ascii="仿宋_GB2312" w:hAnsi="仿宋_GB2312" w:eastAsia="仿宋_GB2312" w:cs="仿宋_GB2312"/>
          <w:color w:val="000000"/>
          <w:sz w:val="32"/>
          <w:szCs w:val="32"/>
        </w:rPr>
        <w:t>应根据预算评审意见完善项目实施方案和预算文本，做实项目前期准备工作。</w:t>
      </w:r>
    </w:p>
    <w:p w14:paraId="215600F4">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（三）建立激励约束机制。预算部门（单位）申报的项目预算比评审结果更优的，可优先安排财政预算。</w:t>
      </w:r>
    </w:p>
    <w:p w14:paraId="5502AFCA">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color w:val="000000"/>
          <w:sz w:val="32"/>
          <w:szCs w:val="32"/>
        </w:rPr>
        <w:t>（四）推进支出标准体系建设。</w:t>
      </w:r>
      <w:r>
        <w:rPr>
          <w:rFonts w:hint="eastAsia" w:ascii="仿宋_GB2312" w:hAnsi="仿宋_GB2312" w:eastAsia="仿宋_GB2312" w:cs="仿宋_GB2312"/>
          <w:b w:val="0"/>
          <w:bCs/>
          <w:color w:val="000000"/>
          <w:sz w:val="32"/>
          <w:szCs w:val="32"/>
          <w:lang w:eastAsia="zh-CN"/>
        </w:rPr>
        <w:t>县</w:t>
      </w:r>
      <w:r>
        <w:rPr>
          <w:rFonts w:hint="eastAsia" w:ascii="仿宋_GB2312" w:hAnsi="仿宋_GB2312" w:eastAsia="仿宋_GB2312" w:cs="仿宋_GB2312"/>
          <w:b w:val="0"/>
          <w:bCs/>
          <w:color w:val="000000"/>
          <w:sz w:val="32"/>
          <w:szCs w:val="32"/>
        </w:rPr>
        <w:t>财政局结合预算评审、绩效</w:t>
      </w:r>
      <w:r>
        <w:rPr>
          <w:rFonts w:hint="eastAsia" w:ascii="仿宋_GB2312" w:hAnsi="仿宋_GB2312" w:eastAsia="仿宋_GB2312" w:cs="仿宋_GB2312"/>
          <w:color w:val="000000"/>
          <w:sz w:val="32"/>
          <w:szCs w:val="32"/>
        </w:rPr>
        <w:t>评价，系统总结分析同类项目评审情况，强化对评审数据的积累和运用。重点提炼共性项目的支出规范与绩效目标要求，同步建立完善共性项目支出标准和绩效标准，推动工作重心由评审资金计划向制定完善支出标准拓展，发挥两类标准在预算管理与绩效管理融合发展中的纽带作用，实现标准体系协同支撑预算全流程管理。</w:t>
      </w:r>
    </w:p>
    <w:p w14:paraId="16F39DBC">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黑体" w:hAnsi="黑体" w:eastAsia="黑体" w:cs="黑体"/>
          <w:b w:val="0"/>
          <w:bCs/>
          <w:sz w:val="32"/>
          <w:szCs w:val="32"/>
        </w:rPr>
      </w:pPr>
      <w:r>
        <w:rPr>
          <w:rFonts w:hint="eastAsia" w:ascii="黑体" w:hAnsi="黑体" w:eastAsia="黑体" w:cs="黑体"/>
          <w:b w:val="0"/>
          <w:bCs/>
          <w:color w:val="000000"/>
          <w:sz w:val="32"/>
          <w:szCs w:val="32"/>
        </w:rPr>
        <w:t>第八章 实施保障</w:t>
      </w:r>
    </w:p>
    <w:p w14:paraId="4DD344C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第二十一条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财政局加强预算评审质效管控，聚焦评审立项、资料审核、现场核查、报告出具等关键环节，制定统一规范的预算评审操作指引，明确评审标准、流程要求和质量控制要点，提升评审工作标准化、规范化水平。</w:t>
      </w:r>
    </w:p>
    <w:p w14:paraId="1DB0A1C1">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第二十二条</w:t>
      </w:r>
      <w:r>
        <w:rPr>
          <w:rFonts w:hint="eastAsia" w:ascii="仿宋_GB2312" w:hAnsi="仿宋_GB2312" w:eastAsia="仿宋_GB2312" w:cs="仿宋_GB2312"/>
          <w:color w:val="000000"/>
          <w:sz w:val="32"/>
          <w:szCs w:val="32"/>
        </w:rPr>
        <w:t xml:space="preserve"> 预算评审所需经费按照“谁委托谁付费”的原则，由</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财政局承担。受托评审机构、参与评审专家不得向被评审单位以任何名义收取费用，严禁违规收费、摊派等行为。</w:t>
      </w:r>
    </w:p>
    <w:p w14:paraId="3341617D">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第二十三条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财政局严格依据法律、行政法规和相关制度规定组织开展预算评审工作，健全完善评审内控管理制度，规范评审流程各环节操作，并强化对第三方评审机构、预算部门（单位）及评审相关人员的全流程监管：</w:t>
      </w:r>
    </w:p>
    <w:p w14:paraId="10215167">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（一）对第三方评审机构实行年度考核，考核结果与委托业务直接挂钩；对存在弄虚作假、徇私舞弊、违规收费等行为的机构，立即终止委托并列入评审“黑名单”，取消其参与预算评审资格。</w:t>
      </w:r>
    </w:p>
    <w:p w14:paraId="3D873B2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（二）预算部门（单位）若存在提供虚假资料、拒不配合评审工作或未按评审要求整改等情形，</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财政局可暂缓其预算拨付或核减相应预算额度。</w:t>
      </w:r>
    </w:p>
    <w:p w14:paraId="2D0EAD5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财政局工作人员不得违规指定第三方评审机构、干预评审结果，不得向受托评审机构提出审减率等指令性要求；对存在违反本办法规定，以及存在《中华人民共和国预算法》《中华人民共和国公务员法》《财政违法行为处罚处分条例》等规定的滥用职权、玩忽职守、徇私舞弊等违法违规行为的，依法依规追究相应责任。</w:t>
      </w:r>
    </w:p>
    <w:p w14:paraId="067F05D3">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（四）受托评审机构工作人员、参与评审专家存在玩忽职守、滥用职权、徇私舞弊等违法违规行为的，由市财政局依法依规追究责任，并纳入评审机构和专家信用管理体系，情节严重的取消其参与预算评审资格。</w:t>
      </w:r>
    </w:p>
    <w:p w14:paraId="3F064B3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z w:val="32"/>
          <w:szCs w:val="32"/>
        </w:rPr>
      </w:pPr>
    </w:p>
    <w:p w14:paraId="462132D0">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color w:val="000000"/>
          <w:sz w:val="32"/>
          <w:szCs w:val="32"/>
        </w:rPr>
        <w:t>第九章 附则</w:t>
      </w:r>
    </w:p>
    <w:p w14:paraId="6FF438F4">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第二十</w:t>
      </w:r>
      <w:r>
        <w:rPr>
          <w:rFonts w:hint="eastAsia" w:ascii="仿宋_GB2312" w:hAnsi="仿宋_GB2312" w:eastAsia="仿宋_GB2312" w:cs="仿宋_GB2312"/>
          <w:b/>
          <w:color w:val="000000"/>
          <w:sz w:val="32"/>
          <w:szCs w:val="32"/>
          <w:lang w:eastAsia="zh-CN"/>
        </w:rPr>
        <w:t>四</w:t>
      </w:r>
      <w:r>
        <w:rPr>
          <w:rFonts w:hint="eastAsia" w:ascii="仿宋_GB2312" w:hAnsi="仿宋_GB2312" w:eastAsia="仿宋_GB2312" w:cs="仿宋_GB2312"/>
          <w:b/>
          <w:color w:val="000000"/>
          <w:sz w:val="32"/>
          <w:szCs w:val="32"/>
        </w:rPr>
        <w:t>条 施行日期</w:t>
      </w:r>
    </w:p>
    <w:p w14:paraId="538F8F1E">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本实施细则自发布之日起施行。以往本级相关规定与本实施细则不一致的，以本实施细则为准。</w:t>
      </w:r>
    </w:p>
    <w:sectPr>
      <w:headerReference r:id="rId3" w:type="default"/>
      <w:footerReference r:id="rId4" w:type="default"/>
      <w:type w:val="continuous"/>
      <w:pgSz w:w="11900" w:h="16940"/>
      <w:pgMar w:top="2160" w:right="1440" w:bottom="1720" w:left="1440" w:header="1080" w:footer="1360" w:gutter="0"/>
      <w:pgNumType w:fmt="numberInDash"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EE9A6">
    <w:pPr>
      <w:autoSpaceDE w:val="0"/>
      <w:autoSpaceDN w:val="0"/>
      <w:spacing w:before="0" w:after="0" w:line="239" w:lineRule="auto"/>
      <w:ind w:right="20" w:firstLine="0"/>
      <w:jc w:val="right"/>
      <w:rPr>
        <w:sz w:val="27"/>
      </w:rPr>
    </w:pPr>
    <w:r>
      <w:rPr>
        <w:sz w:val="27"/>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4BC7D">
                          <w:pPr>
                            <w:pStyle w:val="2"/>
                          </w:pPr>
                          <w:r>
                            <w:rPr>
                              <w:rFonts w:hint="eastAsia" w:ascii="宋体" w:hAnsi="宋体" w:eastAsia="宋体" w:cs="宋体"/>
                              <w:sz w:val="24"/>
                              <w:szCs w:val="36"/>
                            </w:rPr>
                            <w:fldChar w:fldCharType="begin"/>
                          </w:r>
                          <w:r>
                            <w:rPr>
                              <w:rFonts w:hint="eastAsia" w:ascii="宋体" w:hAnsi="宋体" w:eastAsia="宋体" w:cs="宋体"/>
                              <w:sz w:val="24"/>
                              <w:szCs w:val="36"/>
                            </w:rPr>
                            <w:instrText xml:space="preserve"> PAGE  \* MERGEFORMAT </w:instrText>
                          </w:r>
                          <w:r>
                            <w:rPr>
                              <w:rFonts w:hint="eastAsia" w:ascii="宋体" w:hAnsi="宋体" w:eastAsia="宋体" w:cs="宋体"/>
                              <w:sz w:val="24"/>
                              <w:szCs w:val="36"/>
                            </w:rPr>
                            <w:fldChar w:fldCharType="separate"/>
                          </w:r>
                          <w:r>
                            <w:rPr>
                              <w:rFonts w:hint="eastAsia" w:ascii="宋体" w:hAnsi="宋体" w:eastAsia="宋体" w:cs="宋体"/>
                              <w:sz w:val="24"/>
                              <w:szCs w:val="36"/>
                            </w:rPr>
                            <w:t>1</w:t>
                          </w:r>
                          <w:r>
                            <w:rPr>
                              <w:rFonts w:hint="eastAsia" w:ascii="宋体" w:hAnsi="宋体" w:eastAsia="宋体" w:cs="宋体"/>
                              <w:sz w:val="24"/>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D34BC7D">
                    <w:pPr>
                      <w:pStyle w:val="2"/>
                    </w:pPr>
                    <w:r>
                      <w:rPr>
                        <w:rFonts w:hint="eastAsia" w:ascii="宋体" w:hAnsi="宋体" w:eastAsia="宋体" w:cs="宋体"/>
                        <w:sz w:val="24"/>
                        <w:szCs w:val="36"/>
                      </w:rPr>
                      <w:fldChar w:fldCharType="begin"/>
                    </w:r>
                    <w:r>
                      <w:rPr>
                        <w:rFonts w:hint="eastAsia" w:ascii="宋体" w:hAnsi="宋体" w:eastAsia="宋体" w:cs="宋体"/>
                        <w:sz w:val="24"/>
                        <w:szCs w:val="36"/>
                      </w:rPr>
                      <w:instrText xml:space="preserve"> PAGE  \* MERGEFORMAT </w:instrText>
                    </w:r>
                    <w:r>
                      <w:rPr>
                        <w:rFonts w:hint="eastAsia" w:ascii="宋体" w:hAnsi="宋体" w:eastAsia="宋体" w:cs="宋体"/>
                        <w:sz w:val="24"/>
                        <w:szCs w:val="36"/>
                      </w:rPr>
                      <w:fldChar w:fldCharType="separate"/>
                    </w:r>
                    <w:r>
                      <w:rPr>
                        <w:rFonts w:hint="eastAsia" w:ascii="宋体" w:hAnsi="宋体" w:eastAsia="宋体" w:cs="宋体"/>
                        <w:sz w:val="24"/>
                        <w:szCs w:val="36"/>
                      </w:rPr>
                      <w:t>1</w:t>
                    </w:r>
                    <w:r>
                      <w:rPr>
                        <w:rFonts w:hint="eastAsia" w:ascii="宋体" w:hAnsi="宋体" w:eastAsia="宋体" w:cs="宋体"/>
                        <w:sz w:val="24"/>
                        <w:szCs w:val="36"/>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2543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1C6767FB"/>
    <w:rsid w:val="27D50904"/>
    <w:rsid w:val="31A64BF8"/>
    <w:rsid w:val="5997777D"/>
    <w:rsid w:val="69895D2A"/>
    <w:rsid w:val="7CAF7970"/>
    <w:rsid w:val="7FDF48A6"/>
    <w:rsid w:val="B3EF9E3C"/>
    <w:rsid w:val="FFF76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6301</Words>
  <Characters>6343</Characters>
  <TotalTime>6</TotalTime>
  <ScaleCrop>false</ScaleCrop>
  <LinksUpToDate>false</LinksUpToDate>
  <CharactersWithSpaces>6379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2026-06-17T01:20:00Z</dcterms:created>
  <dc:creator>INTSIG</dc:creator>
  <dc:description>Intsig Word Converter</dc:description>
  <cp:lastModifiedBy>信息中心-文档员</cp:lastModifiedBy>
  <dcterms:modified xsi:type="dcterms:W3CDTF">2026-07-16T08:26:37Z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C0349C1ADA97628C1317316AE9200B77_42</vt:lpwstr>
  </property>
  <property fmtid="{D5CDD505-2E9C-101B-9397-08002B2CF9AE}" pid="4" name="KSOTemplateDocerSaveRecord">
    <vt:lpwstr>eyJoZGlkIjoiNDRmNmIxMTE0Y2Y4YjAyNTc4ODM3MjA4ZGY5YzQyOGYifQ==</vt:lpwstr>
  </property>
</Properties>
</file>