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045D9">
      <w:pPr>
        <w:keepNext w:val="0"/>
        <w:keepLines w:val="0"/>
        <w:pageBreakBefore w:val="0"/>
        <w:widowControl w:val="0"/>
        <w:kinsoku/>
        <w:wordWrap/>
        <w:overflowPunct/>
        <w:topLinePunct w:val="0"/>
        <w:autoSpaceDE/>
        <w:autoSpaceDN/>
        <w:bidi w:val="0"/>
        <w:adjustRightInd/>
        <w:snapToGrid/>
        <w:spacing w:line="600" w:lineRule="exact"/>
        <w:ind w:firstLine="1760" w:firstLineChars="400"/>
        <w:jc w:val="both"/>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4年</w:t>
      </w:r>
      <w:r>
        <w:rPr>
          <w:rFonts w:hint="eastAsia" w:ascii="方正小标宋简体" w:hAnsi="方正小标宋简体" w:eastAsia="方正小标宋简体" w:cs="方正小标宋简体"/>
          <w:sz w:val="44"/>
          <w:szCs w:val="44"/>
        </w:rPr>
        <w:t>肃南裕固族自治县</w:t>
      </w:r>
    </w:p>
    <w:p w14:paraId="18A8C978">
      <w:pPr>
        <w:keepNext w:val="0"/>
        <w:keepLines w:val="0"/>
        <w:pageBreakBefore w:val="0"/>
        <w:widowControl w:val="0"/>
        <w:kinsoku/>
        <w:wordWrap/>
        <w:overflowPunct/>
        <w:topLinePunct w:val="0"/>
        <w:autoSpaceDE/>
        <w:autoSpaceDN/>
        <w:bidi w:val="0"/>
        <w:adjustRightInd/>
        <w:snapToGrid/>
        <w:spacing w:line="600" w:lineRule="exact"/>
        <w:ind w:firstLine="1320" w:firstLineChars="300"/>
        <w:jc w:val="both"/>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国民经济和社会发展统计公报</w:t>
      </w:r>
    </w:p>
    <w:p w14:paraId="7248698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Chars="0" w:firstLine="640" w:firstLineChars="200"/>
        <w:textAlignment w:val="auto"/>
        <w:rPr>
          <w:rFonts w:hint="eastAsia" w:ascii="仿宋_GB2312" w:hAnsi="仿宋_GB2312" w:eastAsia="仿宋_GB2312" w:cs="仿宋_GB2312"/>
          <w:sz w:val="32"/>
          <w:szCs w:val="32"/>
          <w:highlight w:val="none"/>
        </w:rPr>
      </w:pPr>
    </w:p>
    <w:p w14:paraId="50A6111E">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Chars="0" w:firstLine="2520" w:firstLineChars="900"/>
        <w:jc w:val="both"/>
        <w:textAlignment w:val="auto"/>
        <w:rPr>
          <w:rFonts w:hint="eastAsia"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lang w:val="en-US" w:eastAsia="zh-CN"/>
        </w:rPr>
        <w:t>肃南裕固族自治县统计局</w:t>
      </w:r>
    </w:p>
    <w:p w14:paraId="5445DCE4">
      <w:pPr>
        <w:pStyle w:val="2"/>
        <w:ind w:firstLine="3360" w:firstLineChars="1200"/>
        <w:jc w:val="both"/>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highlight w:val="none"/>
          <w:lang w:val="en-US" w:eastAsia="zh-CN"/>
        </w:rPr>
        <w:t>2025年3月</w:t>
      </w:r>
    </w:p>
    <w:p w14:paraId="0EBFCBCF">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eastAsia" w:ascii="仿宋_GB2312" w:hAnsi="仿宋_GB2312" w:eastAsia="仿宋_GB2312" w:cs="仿宋_GB2312"/>
          <w:color w:val="auto"/>
          <w:sz w:val="32"/>
          <w:szCs w:val="32"/>
          <w:highlight w:val="none"/>
        </w:rPr>
      </w:pPr>
    </w:p>
    <w:p w14:paraId="668162D2">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年来，面对复杂严峻的发展环境和艰巨繁重的工作任务，在中央和省、市、县委的坚强领导下，肃南县坚持以习近平新时代中国特色社会主义思想为指导，深入贯彻党的二十大和二十届二中、三中全会精神，全面落实习近平总书记视察甘肃重要讲话重要指示精神，坚持以各民族共同富裕先行区建设为统揽，以高质量发展为主题，以“三抓三促”行动为抓手，扎实推进“四强”行动，做深做实“五量”文章，立足“一屏三地”功能定位，全面推进生态立县、文旅兴县、畜牧稳县、工业强县、依法治县，千方百计稳增长、促转型、惠民生、防风险、保稳定，全县经济社会呈现出稳中有进、稳中向好的发展态势。</w:t>
      </w:r>
    </w:p>
    <w:p w14:paraId="2051DCF4">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一、综 合</w:t>
      </w:r>
    </w:p>
    <w:p w14:paraId="0B2D454A">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经济增长：</w:t>
      </w:r>
      <w:r>
        <w:rPr>
          <w:rFonts w:hint="eastAsia" w:ascii="仿宋_GB2312" w:hAnsi="仿宋_GB2312" w:eastAsia="仿宋_GB2312" w:cs="仿宋_GB2312"/>
          <w:color w:val="auto"/>
          <w:sz w:val="32"/>
          <w:szCs w:val="32"/>
          <w:highlight w:val="none"/>
        </w:rPr>
        <w:t>初步核算，</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全县完成生产总值</w:t>
      </w:r>
      <w:r>
        <w:rPr>
          <w:rFonts w:hint="eastAsia" w:ascii="仿宋_GB2312" w:hAnsi="仿宋_GB2312" w:eastAsia="仿宋_GB2312" w:cs="仿宋_GB2312"/>
          <w:color w:val="auto"/>
          <w:sz w:val="32"/>
          <w:szCs w:val="32"/>
          <w:highlight w:val="none"/>
          <w:lang w:val="en-US" w:eastAsia="zh-CN"/>
        </w:rPr>
        <w:t>44.19</w:t>
      </w:r>
      <w:r>
        <w:rPr>
          <w:rFonts w:hint="eastAsia" w:ascii="仿宋_GB2312" w:hAnsi="仿宋_GB2312" w:eastAsia="仿宋_GB2312" w:cs="仿宋_GB2312"/>
          <w:color w:val="auto"/>
          <w:sz w:val="32"/>
          <w:szCs w:val="32"/>
          <w:highlight w:val="none"/>
        </w:rPr>
        <w:t>亿元，按不变价计算，同比增长6.</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%。分产业看，其中第一产业</w:t>
      </w:r>
      <w:r>
        <w:rPr>
          <w:rFonts w:hint="eastAsia" w:ascii="仿宋_GB2312" w:hAnsi="仿宋_GB2312" w:eastAsia="仿宋_GB2312" w:cs="仿宋_GB2312"/>
          <w:color w:val="auto"/>
          <w:sz w:val="32"/>
          <w:szCs w:val="32"/>
          <w:highlight w:val="none"/>
          <w:lang w:val="en-US" w:eastAsia="zh-CN"/>
        </w:rPr>
        <w:t>8.37</w:t>
      </w:r>
      <w:r>
        <w:rPr>
          <w:rFonts w:hint="eastAsia" w:ascii="仿宋_GB2312" w:hAnsi="仿宋_GB2312" w:eastAsia="仿宋_GB2312" w:cs="仿宋_GB2312"/>
          <w:color w:val="auto"/>
          <w:sz w:val="32"/>
          <w:szCs w:val="32"/>
          <w:highlight w:val="none"/>
        </w:rPr>
        <w:t>亿元，同比增长</w:t>
      </w:r>
      <w:r>
        <w:rPr>
          <w:rFonts w:hint="eastAsia" w:ascii="仿宋_GB2312" w:hAnsi="仿宋_GB2312" w:eastAsia="仿宋_GB2312" w:cs="仿宋_GB2312"/>
          <w:color w:val="auto"/>
          <w:sz w:val="32"/>
          <w:szCs w:val="32"/>
          <w:highlight w:val="none"/>
          <w:lang w:val="en-US" w:eastAsia="zh-CN"/>
        </w:rPr>
        <w:t>6.8</w:t>
      </w:r>
      <w:r>
        <w:rPr>
          <w:rFonts w:hint="eastAsia" w:ascii="仿宋_GB2312" w:hAnsi="仿宋_GB2312" w:eastAsia="仿宋_GB2312" w:cs="仿宋_GB2312"/>
          <w:color w:val="auto"/>
          <w:sz w:val="32"/>
          <w:szCs w:val="32"/>
          <w:highlight w:val="none"/>
        </w:rPr>
        <w:t>%；第二产业</w:t>
      </w:r>
      <w:r>
        <w:rPr>
          <w:rFonts w:hint="eastAsia" w:ascii="仿宋_GB2312" w:hAnsi="仿宋_GB2312" w:eastAsia="仿宋_GB2312" w:cs="仿宋_GB2312"/>
          <w:color w:val="auto"/>
          <w:sz w:val="32"/>
          <w:szCs w:val="32"/>
          <w:highlight w:val="none"/>
          <w:lang w:val="en-US" w:eastAsia="zh-CN"/>
        </w:rPr>
        <w:t>20.72</w:t>
      </w:r>
      <w:r>
        <w:rPr>
          <w:rFonts w:hint="eastAsia" w:ascii="仿宋_GB2312" w:hAnsi="仿宋_GB2312" w:eastAsia="仿宋_GB2312" w:cs="仿宋_GB2312"/>
          <w:color w:val="auto"/>
          <w:sz w:val="32"/>
          <w:szCs w:val="32"/>
          <w:highlight w:val="none"/>
        </w:rPr>
        <w:t>亿元，同比增长</w:t>
      </w: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rPr>
        <w:t>%；第三产业</w:t>
      </w:r>
      <w:r>
        <w:rPr>
          <w:rFonts w:hint="eastAsia" w:ascii="仿宋_GB2312" w:hAnsi="仿宋_GB2312" w:eastAsia="仿宋_GB2312" w:cs="仿宋_GB2312"/>
          <w:color w:val="auto"/>
          <w:sz w:val="32"/>
          <w:szCs w:val="32"/>
          <w:highlight w:val="none"/>
          <w:lang w:val="en-US" w:eastAsia="zh-CN"/>
        </w:rPr>
        <w:t>15.11</w:t>
      </w:r>
      <w:r>
        <w:rPr>
          <w:rFonts w:hint="eastAsia" w:ascii="仿宋_GB2312" w:hAnsi="仿宋_GB2312" w:eastAsia="仿宋_GB2312" w:cs="仿宋_GB2312"/>
          <w:color w:val="auto"/>
          <w:sz w:val="32"/>
          <w:szCs w:val="32"/>
          <w:highlight w:val="none"/>
        </w:rPr>
        <w:t>亿元，同比增长</w:t>
      </w: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w:t>
      </w:r>
    </w:p>
    <w:p w14:paraId="38ADA66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按常住人口计算，人均生产总值</w:t>
      </w:r>
      <w:r>
        <w:rPr>
          <w:rFonts w:hint="eastAsia" w:ascii="仿宋_GB2312" w:hAnsi="仿宋_GB2312" w:eastAsia="仿宋_GB2312" w:cs="仿宋_GB2312"/>
          <w:color w:val="auto"/>
          <w:sz w:val="32"/>
          <w:szCs w:val="32"/>
          <w:highlight w:val="none"/>
          <w:lang w:val="en-US" w:eastAsia="zh-CN"/>
        </w:rPr>
        <w:t>163983</w:t>
      </w:r>
      <w:r>
        <w:rPr>
          <w:rFonts w:hint="eastAsia" w:ascii="仿宋_GB2312" w:hAnsi="仿宋_GB2312" w:eastAsia="仿宋_GB2312" w:cs="仿宋_GB2312"/>
          <w:color w:val="auto"/>
          <w:sz w:val="32"/>
          <w:szCs w:val="32"/>
          <w:highlight w:val="none"/>
        </w:rPr>
        <w:t>元，比上年增长</w:t>
      </w: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%。三次产业结构由上年的20.13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46.32：33.55调整为</w:t>
      </w:r>
      <w:r>
        <w:rPr>
          <w:rFonts w:hint="eastAsia" w:ascii="仿宋_GB2312" w:hAnsi="仿宋_GB2312" w:eastAsia="仿宋_GB2312" w:cs="仿宋_GB2312"/>
          <w:color w:val="auto"/>
          <w:sz w:val="32"/>
          <w:szCs w:val="32"/>
          <w:highlight w:val="none"/>
          <w:lang w:val="en-US" w:eastAsia="zh-CN"/>
        </w:rPr>
        <w:t>今年的</w:t>
      </w:r>
      <w:r>
        <w:rPr>
          <w:rFonts w:hint="eastAsia" w:ascii="仿宋_GB2312" w:hAnsi="仿宋_GB2312" w:eastAsia="仿宋_GB2312" w:cs="仿宋_GB2312"/>
          <w:color w:val="auto"/>
          <w:sz w:val="32"/>
          <w:szCs w:val="32"/>
          <w:highlight w:val="none"/>
        </w:rPr>
        <w:t>18.93：46.89：34.18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与上年相比，第一产业所占比重</w:t>
      </w:r>
      <w:r>
        <w:rPr>
          <w:rFonts w:hint="eastAsia" w:ascii="仿宋_GB2312" w:hAnsi="仿宋_GB2312" w:eastAsia="仿宋_GB2312" w:cs="仿宋_GB2312"/>
          <w:color w:val="auto"/>
          <w:sz w:val="32"/>
          <w:szCs w:val="32"/>
          <w:highlight w:val="none"/>
          <w:lang w:val="en-US" w:eastAsia="zh-CN"/>
        </w:rPr>
        <w:t>降低1.2</w:t>
      </w:r>
      <w:r>
        <w:rPr>
          <w:rFonts w:hint="eastAsia" w:ascii="仿宋_GB2312" w:hAnsi="仿宋_GB2312" w:eastAsia="仿宋_GB2312" w:cs="仿宋_GB2312"/>
          <w:color w:val="auto"/>
          <w:sz w:val="32"/>
          <w:szCs w:val="32"/>
          <w:highlight w:val="none"/>
        </w:rPr>
        <w:t>个百分点，第二产业所占比重上升</w:t>
      </w:r>
      <w:r>
        <w:rPr>
          <w:rFonts w:hint="eastAsia" w:ascii="仿宋_GB2312" w:hAnsi="仿宋_GB2312" w:eastAsia="仿宋_GB2312" w:cs="仿宋_GB2312"/>
          <w:color w:val="auto"/>
          <w:sz w:val="32"/>
          <w:szCs w:val="32"/>
          <w:highlight w:val="none"/>
          <w:lang w:val="en-US" w:eastAsia="zh-CN"/>
        </w:rPr>
        <w:t>0.57</w:t>
      </w:r>
      <w:r>
        <w:rPr>
          <w:rFonts w:hint="eastAsia" w:ascii="仿宋_GB2312" w:hAnsi="仿宋_GB2312" w:eastAsia="仿宋_GB2312" w:cs="仿宋_GB2312"/>
          <w:color w:val="auto"/>
          <w:sz w:val="32"/>
          <w:szCs w:val="32"/>
          <w:highlight w:val="none"/>
        </w:rPr>
        <w:t>个百分点，第三产业所占比重</w:t>
      </w:r>
      <w:r>
        <w:rPr>
          <w:rFonts w:hint="eastAsia" w:ascii="仿宋_GB2312" w:hAnsi="仿宋_GB2312" w:eastAsia="仿宋_GB2312" w:cs="仿宋_GB2312"/>
          <w:color w:val="auto"/>
          <w:sz w:val="32"/>
          <w:szCs w:val="32"/>
          <w:highlight w:val="none"/>
          <w:lang w:val="en-US" w:eastAsia="zh-CN"/>
        </w:rPr>
        <w:t>上升0.63</w:t>
      </w:r>
      <w:r>
        <w:rPr>
          <w:rFonts w:hint="eastAsia" w:ascii="仿宋_GB2312" w:hAnsi="仿宋_GB2312" w:eastAsia="仿宋_GB2312" w:cs="仿宋_GB2312"/>
          <w:color w:val="auto"/>
          <w:sz w:val="32"/>
          <w:szCs w:val="32"/>
          <w:highlight w:val="none"/>
        </w:rPr>
        <w:t>个百分点。</w:t>
      </w:r>
    </w:p>
    <w:p w14:paraId="0382BC20">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tbl>
      <w:tblPr>
        <w:tblStyle w:val="8"/>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3"/>
        <w:gridCol w:w="1511"/>
        <w:gridCol w:w="2356"/>
      </w:tblGrid>
      <w:tr w14:paraId="31AC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480" w:type="dxa"/>
            <w:gridSpan w:val="3"/>
            <w:tcBorders>
              <w:top w:val="nil"/>
              <w:left w:val="nil"/>
              <w:bottom w:val="nil"/>
              <w:right w:val="nil"/>
            </w:tcBorders>
            <w:shd w:val="clear" w:color="auto" w:fill="auto"/>
            <w:noWrap/>
            <w:vAlign w:val="center"/>
          </w:tcPr>
          <w:p w14:paraId="64571B5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表1  2024年肃南县生产总值及其增长速度</w:t>
            </w:r>
          </w:p>
        </w:tc>
      </w:tr>
      <w:tr w14:paraId="3F4E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8480" w:type="dxa"/>
            <w:gridSpan w:val="3"/>
            <w:tcBorders>
              <w:top w:val="nil"/>
              <w:left w:val="nil"/>
              <w:bottom w:val="nil"/>
              <w:right w:val="nil"/>
            </w:tcBorders>
            <w:shd w:val="clear" w:color="auto" w:fill="auto"/>
            <w:noWrap/>
            <w:vAlign w:val="center"/>
          </w:tcPr>
          <w:p w14:paraId="73B5097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单位：万元，%</w:t>
            </w:r>
          </w:p>
        </w:tc>
      </w:tr>
      <w:tr w14:paraId="3E7B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4613" w:type="dxa"/>
            <w:tcBorders>
              <w:top w:val="single" w:color="000000" w:sz="4" w:space="0"/>
              <w:left w:val="nil"/>
              <w:bottom w:val="nil"/>
              <w:right w:val="single" w:color="000000" w:sz="4" w:space="0"/>
            </w:tcBorders>
            <w:shd w:val="clear" w:color="auto" w:fill="auto"/>
            <w:noWrap/>
            <w:vAlign w:val="center"/>
          </w:tcPr>
          <w:p w14:paraId="2214DE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w:t>
            </w:r>
          </w:p>
        </w:tc>
        <w:tc>
          <w:tcPr>
            <w:tcW w:w="1511" w:type="dxa"/>
            <w:tcBorders>
              <w:top w:val="single" w:color="000000" w:sz="4" w:space="0"/>
              <w:left w:val="nil"/>
              <w:bottom w:val="nil"/>
              <w:right w:val="single" w:color="000000" w:sz="4" w:space="0"/>
            </w:tcBorders>
            <w:shd w:val="clear" w:color="auto" w:fill="auto"/>
            <w:noWrap/>
            <w:vAlign w:val="center"/>
          </w:tcPr>
          <w:p w14:paraId="406036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w:t>
            </w:r>
          </w:p>
        </w:tc>
        <w:tc>
          <w:tcPr>
            <w:tcW w:w="2356" w:type="dxa"/>
            <w:tcBorders>
              <w:top w:val="single" w:color="000000" w:sz="4" w:space="0"/>
              <w:left w:val="nil"/>
              <w:bottom w:val="nil"/>
              <w:right w:val="nil"/>
            </w:tcBorders>
            <w:shd w:val="clear" w:color="auto" w:fill="auto"/>
            <w:noWrap/>
            <w:vAlign w:val="center"/>
          </w:tcPr>
          <w:p w14:paraId="24778B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比上年增长</w:t>
            </w:r>
          </w:p>
        </w:tc>
      </w:tr>
      <w:tr w14:paraId="6A06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4613" w:type="dxa"/>
            <w:tcBorders>
              <w:top w:val="single" w:color="000000" w:sz="4" w:space="0"/>
              <w:left w:val="nil"/>
              <w:bottom w:val="nil"/>
              <w:right w:val="single" w:color="000000" w:sz="4" w:space="0"/>
            </w:tcBorders>
            <w:shd w:val="clear" w:color="auto" w:fill="auto"/>
            <w:noWrap/>
            <w:vAlign w:val="center"/>
          </w:tcPr>
          <w:p w14:paraId="1549F97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地区生产总值</w:t>
            </w:r>
          </w:p>
        </w:tc>
        <w:tc>
          <w:tcPr>
            <w:tcW w:w="1511" w:type="dxa"/>
            <w:tcBorders>
              <w:top w:val="single" w:color="000000" w:sz="4" w:space="0"/>
              <w:left w:val="nil"/>
              <w:bottom w:val="nil"/>
              <w:right w:val="single" w:color="000000" w:sz="4" w:space="0"/>
            </w:tcBorders>
            <w:shd w:val="clear" w:color="auto" w:fill="auto"/>
            <w:noWrap/>
            <w:vAlign w:val="center"/>
          </w:tcPr>
          <w:p w14:paraId="38E4A1A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441935</w:t>
            </w:r>
          </w:p>
        </w:tc>
        <w:tc>
          <w:tcPr>
            <w:tcW w:w="2356" w:type="dxa"/>
            <w:tcBorders>
              <w:top w:val="single" w:color="000000" w:sz="4" w:space="0"/>
              <w:left w:val="nil"/>
              <w:bottom w:val="nil"/>
              <w:right w:val="nil"/>
            </w:tcBorders>
            <w:shd w:val="clear" w:color="auto" w:fill="auto"/>
            <w:noWrap/>
            <w:vAlign w:val="center"/>
          </w:tcPr>
          <w:p w14:paraId="00221FE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6.2</w:t>
            </w:r>
          </w:p>
        </w:tc>
      </w:tr>
      <w:tr w14:paraId="63D3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0E75488C">
            <w:pPr>
              <w:keepNext w:val="0"/>
              <w:keepLines w:val="0"/>
              <w:pageBreakBefore w:val="0"/>
              <w:widowControl/>
              <w:suppressLineNumbers w:val="0"/>
              <w:kinsoku/>
              <w:wordWrap/>
              <w:overflowPunct/>
              <w:topLinePunct w:val="0"/>
              <w:autoSpaceDE/>
              <w:autoSpaceDN/>
              <w:bidi w:val="0"/>
              <w:adjustRightInd/>
              <w:snapToGrid/>
              <w:spacing w:line="560" w:lineRule="exact"/>
              <w:ind w:firstLine="240" w:firstLineChars="1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第一产业增加值</w:t>
            </w:r>
          </w:p>
        </w:tc>
        <w:tc>
          <w:tcPr>
            <w:tcW w:w="1511" w:type="dxa"/>
            <w:tcBorders>
              <w:top w:val="nil"/>
              <w:left w:val="nil"/>
              <w:bottom w:val="nil"/>
              <w:right w:val="single" w:color="000000" w:sz="4" w:space="0"/>
            </w:tcBorders>
            <w:shd w:val="clear" w:color="auto" w:fill="auto"/>
            <w:noWrap/>
            <w:vAlign w:val="center"/>
          </w:tcPr>
          <w:p w14:paraId="6F7C820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83658</w:t>
            </w:r>
          </w:p>
        </w:tc>
        <w:tc>
          <w:tcPr>
            <w:tcW w:w="2356" w:type="dxa"/>
            <w:tcBorders>
              <w:top w:val="nil"/>
              <w:left w:val="nil"/>
              <w:bottom w:val="nil"/>
              <w:right w:val="nil"/>
            </w:tcBorders>
            <w:shd w:val="clear" w:color="auto" w:fill="auto"/>
            <w:noWrap/>
            <w:vAlign w:val="center"/>
          </w:tcPr>
          <w:p w14:paraId="42C67C2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w:t>
            </w:r>
          </w:p>
        </w:tc>
      </w:tr>
      <w:tr w14:paraId="1332C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17A3D264">
            <w:pPr>
              <w:keepNext w:val="0"/>
              <w:keepLines w:val="0"/>
              <w:pageBreakBefore w:val="0"/>
              <w:widowControl/>
              <w:suppressLineNumbers w:val="0"/>
              <w:kinsoku/>
              <w:wordWrap/>
              <w:overflowPunct/>
              <w:topLinePunct w:val="0"/>
              <w:autoSpaceDE/>
              <w:autoSpaceDN/>
              <w:bidi w:val="0"/>
              <w:adjustRightInd/>
              <w:snapToGrid/>
              <w:spacing w:line="560" w:lineRule="exact"/>
              <w:ind w:firstLine="240" w:firstLineChars="1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第二产业增加值</w:t>
            </w:r>
          </w:p>
        </w:tc>
        <w:tc>
          <w:tcPr>
            <w:tcW w:w="1511" w:type="dxa"/>
            <w:tcBorders>
              <w:top w:val="nil"/>
              <w:left w:val="nil"/>
              <w:bottom w:val="nil"/>
              <w:right w:val="single" w:color="000000" w:sz="4" w:space="0"/>
            </w:tcBorders>
            <w:shd w:val="clear" w:color="auto" w:fill="auto"/>
            <w:noWrap/>
            <w:vAlign w:val="center"/>
          </w:tcPr>
          <w:p w14:paraId="2DDC091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207224</w:t>
            </w:r>
          </w:p>
        </w:tc>
        <w:tc>
          <w:tcPr>
            <w:tcW w:w="2356" w:type="dxa"/>
            <w:tcBorders>
              <w:top w:val="nil"/>
              <w:left w:val="nil"/>
              <w:bottom w:val="nil"/>
              <w:right w:val="nil"/>
            </w:tcBorders>
            <w:shd w:val="clear" w:color="auto" w:fill="auto"/>
            <w:noWrap/>
            <w:vAlign w:val="center"/>
          </w:tcPr>
          <w:p w14:paraId="4BDE4B4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8.1</w:t>
            </w:r>
          </w:p>
        </w:tc>
      </w:tr>
      <w:tr w14:paraId="7456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6C1EF5BF">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工业增加值</w:t>
            </w:r>
          </w:p>
        </w:tc>
        <w:tc>
          <w:tcPr>
            <w:tcW w:w="1511" w:type="dxa"/>
            <w:tcBorders>
              <w:top w:val="nil"/>
              <w:left w:val="nil"/>
              <w:bottom w:val="nil"/>
              <w:right w:val="single" w:color="000000" w:sz="4" w:space="0"/>
            </w:tcBorders>
            <w:shd w:val="clear" w:color="auto" w:fill="auto"/>
            <w:noWrap/>
            <w:vAlign w:val="center"/>
          </w:tcPr>
          <w:p w14:paraId="2EBDCC3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174165</w:t>
            </w:r>
          </w:p>
        </w:tc>
        <w:tc>
          <w:tcPr>
            <w:tcW w:w="2356" w:type="dxa"/>
            <w:tcBorders>
              <w:top w:val="nil"/>
              <w:left w:val="nil"/>
              <w:bottom w:val="nil"/>
              <w:right w:val="nil"/>
            </w:tcBorders>
            <w:shd w:val="clear" w:color="auto" w:fill="auto"/>
            <w:noWrap/>
            <w:vAlign w:val="center"/>
          </w:tcPr>
          <w:p w14:paraId="2F85DB13">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r>
      <w:tr w14:paraId="43D6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2709A794">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规模以上工业增加值</w:t>
            </w:r>
          </w:p>
        </w:tc>
        <w:tc>
          <w:tcPr>
            <w:tcW w:w="1511" w:type="dxa"/>
            <w:tcBorders>
              <w:top w:val="nil"/>
              <w:left w:val="nil"/>
              <w:bottom w:val="nil"/>
              <w:right w:val="single" w:color="000000" w:sz="4" w:space="0"/>
            </w:tcBorders>
            <w:shd w:val="clear" w:color="auto" w:fill="auto"/>
            <w:noWrap/>
            <w:vAlign w:val="center"/>
          </w:tcPr>
          <w:p w14:paraId="22CD41B0">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113803</w:t>
            </w:r>
          </w:p>
        </w:tc>
        <w:tc>
          <w:tcPr>
            <w:tcW w:w="2356" w:type="dxa"/>
            <w:tcBorders>
              <w:top w:val="nil"/>
              <w:left w:val="nil"/>
              <w:bottom w:val="nil"/>
              <w:right w:val="nil"/>
            </w:tcBorders>
            <w:shd w:val="clear" w:color="auto" w:fill="auto"/>
            <w:noWrap/>
            <w:vAlign w:val="center"/>
          </w:tcPr>
          <w:p w14:paraId="66B7E89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7.0</w:t>
            </w:r>
          </w:p>
        </w:tc>
      </w:tr>
      <w:tr w14:paraId="755F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0005030F">
            <w:pPr>
              <w:keepNext w:val="0"/>
              <w:keepLines w:val="0"/>
              <w:pageBreakBefore w:val="0"/>
              <w:widowControl/>
              <w:suppressLineNumbers w:val="0"/>
              <w:kinsoku/>
              <w:wordWrap/>
              <w:overflowPunct/>
              <w:topLinePunct w:val="0"/>
              <w:autoSpaceDE/>
              <w:autoSpaceDN/>
              <w:bidi w:val="0"/>
              <w:adjustRightInd/>
              <w:snapToGrid/>
              <w:spacing w:line="560" w:lineRule="exact"/>
              <w:ind w:firstLine="240" w:firstLineChars="1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第三产业增加值</w:t>
            </w:r>
          </w:p>
        </w:tc>
        <w:tc>
          <w:tcPr>
            <w:tcW w:w="1511" w:type="dxa"/>
            <w:tcBorders>
              <w:top w:val="nil"/>
              <w:left w:val="nil"/>
              <w:bottom w:val="nil"/>
              <w:right w:val="single" w:color="000000" w:sz="4" w:space="0"/>
            </w:tcBorders>
            <w:shd w:val="clear" w:color="auto" w:fill="auto"/>
            <w:noWrap/>
            <w:vAlign w:val="center"/>
          </w:tcPr>
          <w:p w14:paraId="450F13C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151053</w:t>
            </w:r>
          </w:p>
        </w:tc>
        <w:tc>
          <w:tcPr>
            <w:tcW w:w="2356" w:type="dxa"/>
            <w:tcBorders>
              <w:top w:val="nil"/>
              <w:left w:val="nil"/>
              <w:bottom w:val="nil"/>
              <w:right w:val="nil"/>
            </w:tcBorders>
            <w:shd w:val="clear" w:color="auto" w:fill="auto"/>
            <w:noWrap/>
            <w:vAlign w:val="center"/>
          </w:tcPr>
          <w:p w14:paraId="0CFE2A8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3.7</w:t>
            </w:r>
          </w:p>
        </w:tc>
      </w:tr>
      <w:tr w14:paraId="3AD8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656C4BC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建筑业</w:t>
            </w:r>
          </w:p>
        </w:tc>
        <w:tc>
          <w:tcPr>
            <w:tcW w:w="1511" w:type="dxa"/>
            <w:tcBorders>
              <w:top w:val="nil"/>
              <w:left w:val="nil"/>
              <w:bottom w:val="nil"/>
              <w:right w:val="single" w:color="000000" w:sz="4" w:space="0"/>
            </w:tcBorders>
            <w:shd w:val="clear" w:color="auto" w:fill="auto"/>
            <w:noWrap/>
            <w:vAlign w:val="center"/>
          </w:tcPr>
          <w:p w14:paraId="44F5A73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33780</w:t>
            </w:r>
          </w:p>
        </w:tc>
        <w:tc>
          <w:tcPr>
            <w:tcW w:w="2356" w:type="dxa"/>
            <w:tcBorders>
              <w:top w:val="nil"/>
              <w:left w:val="nil"/>
              <w:bottom w:val="nil"/>
              <w:right w:val="nil"/>
            </w:tcBorders>
            <w:shd w:val="clear" w:color="auto" w:fill="auto"/>
            <w:noWrap/>
            <w:vAlign w:val="center"/>
          </w:tcPr>
          <w:p w14:paraId="24CBE494">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20.9</w:t>
            </w:r>
          </w:p>
        </w:tc>
      </w:tr>
      <w:tr w14:paraId="2A0C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508FA5B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批发和零售业</w:t>
            </w:r>
          </w:p>
        </w:tc>
        <w:tc>
          <w:tcPr>
            <w:tcW w:w="1511" w:type="dxa"/>
            <w:tcBorders>
              <w:top w:val="nil"/>
              <w:left w:val="nil"/>
              <w:bottom w:val="nil"/>
              <w:right w:val="single" w:color="000000" w:sz="4" w:space="0"/>
            </w:tcBorders>
            <w:shd w:val="clear" w:color="auto" w:fill="auto"/>
            <w:noWrap/>
            <w:vAlign w:val="center"/>
          </w:tcPr>
          <w:p w14:paraId="1635451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18389</w:t>
            </w:r>
          </w:p>
        </w:tc>
        <w:tc>
          <w:tcPr>
            <w:tcW w:w="2356" w:type="dxa"/>
            <w:tcBorders>
              <w:top w:val="nil"/>
              <w:left w:val="nil"/>
              <w:bottom w:val="nil"/>
              <w:right w:val="nil"/>
            </w:tcBorders>
            <w:shd w:val="clear" w:color="auto" w:fill="auto"/>
            <w:noWrap/>
            <w:vAlign w:val="center"/>
          </w:tcPr>
          <w:p w14:paraId="5480AC1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r>
      <w:tr w14:paraId="4ED4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647E4EB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交通运输、仓储和邮政业</w:t>
            </w:r>
          </w:p>
        </w:tc>
        <w:tc>
          <w:tcPr>
            <w:tcW w:w="1511" w:type="dxa"/>
            <w:tcBorders>
              <w:top w:val="nil"/>
              <w:left w:val="nil"/>
              <w:bottom w:val="nil"/>
              <w:right w:val="single" w:color="000000" w:sz="4" w:space="0"/>
            </w:tcBorders>
            <w:shd w:val="clear" w:color="auto" w:fill="auto"/>
            <w:noWrap/>
            <w:vAlign w:val="center"/>
          </w:tcPr>
          <w:p w14:paraId="74BA7D50">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3369</w:t>
            </w:r>
          </w:p>
        </w:tc>
        <w:tc>
          <w:tcPr>
            <w:tcW w:w="2356" w:type="dxa"/>
            <w:tcBorders>
              <w:top w:val="nil"/>
              <w:left w:val="nil"/>
              <w:bottom w:val="nil"/>
              <w:right w:val="nil"/>
            </w:tcBorders>
            <w:shd w:val="clear" w:color="auto" w:fill="auto"/>
            <w:noWrap/>
            <w:vAlign w:val="center"/>
          </w:tcPr>
          <w:p w14:paraId="24AB238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3.9</w:t>
            </w:r>
          </w:p>
        </w:tc>
      </w:tr>
      <w:tr w14:paraId="2598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49E1A2F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住宿和餐饮业</w:t>
            </w:r>
          </w:p>
        </w:tc>
        <w:tc>
          <w:tcPr>
            <w:tcW w:w="1511" w:type="dxa"/>
            <w:tcBorders>
              <w:top w:val="nil"/>
              <w:left w:val="nil"/>
              <w:bottom w:val="nil"/>
              <w:right w:val="single" w:color="000000" w:sz="4" w:space="0"/>
            </w:tcBorders>
            <w:shd w:val="clear" w:color="auto" w:fill="auto"/>
            <w:noWrap/>
            <w:vAlign w:val="center"/>
          </w:tcPr>
          <w:p w14:paraId="4493741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5541</w:t>
            </w:r>
          </w:p>
        </w:tc>
        <w:tc>
          <w:tcPr>
            <w:tcW w:w="2356" w:type="dxa"/>
            <w:tcBorders>
              <w:top w:val="nil"/>
              <w:left w:val="nil"/>
              <w:bottom w:val="nil"/>
              <w:right w:val="nil"/>
            </w:tcBorders>
            <w:shd w:val="clear" w:color="auto" w:fill="auto"/>
            <w:noWrap/>
            <w:vAlign w:val="center"/>
          </w:tcPr>
          <w:p w14:paraId="5C79983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7.7</w:t>
            </w:r>
          </w:p>
        </w:tc>
      </w:tr>
      <w:tr w14:paraId="4C8E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00D14BC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金融业</w:t>
            </w:r>
          </w:p>
        </w:tc>
        <w:tc>
          <w:tcPr>
            <w:tcW w:w="1511" w:type="dxa"/>
            <w:tcBorders>
              <w:top w:val="nil"/>
              <w:left w:val="nil"/>
              <w:bottom w:val="nil"/>
              <w:right w:val="single" w:color="000000" w:sz="4" w:space="0"/>
            </w:tcBorders>
            <w:shd w:val="clear" w:color="auto" w:fill="auto"/>
            <w:noWrap/>
            <w:vAlign w:val="center"/>
          </w:tcPr>
          <w:p w14:paraId="2A19B62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8476</w:t>
            </w:r>
          </w:p>
        </w:tc>
        <w:tc>
          <w:tcPr>
            <w:tcW w:w="2356" w:type="dxa"/>
            <w:tcBorders>
              <w:top w:val="nil"/>
              <w:left w:val="nil"/>
              <w:bottom w:val="nil"/>
              <w:right w:val="nil"/>
            </w:tcBorders>
            <w:shd w:val="clear" w:color="auto" w:fill="auto"/>
            <w:noWrap/>
            <w:vAlign w:val="center"/>
          </w:tcPr>
          <w:p w14:paraId="19D7B19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r>
      <w:tr w14:paraId="654F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1EBCFC1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房地产业</w:t>
            </w:r>
          </w:p>
        </w:tc>
        <w:tc>
          <w:tcPr>
            <w:tcW w:w="1511" w:type="dxa"/>
            <w:tcBorders>
              <w:top w:val="nil"/>
              <w:left w:val="nil"/>
              <w:bottom w:val="nil"/>
              <w:right w:val="single" w:color="000000" w:sz="4" w:space="0"/>
            </w:tcBorders>
            <w:shd w:val="clear" w:color="auto" w:fill="auto"/>
            <w:noWrap/>
            <w:vAlign w:val="center"/>
          </w:tcPr>
          <w:p w14:paraId="4F63B74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6888</w:t>
            </w:r>
          </w:p>
        </w:tc>
        <w:tc>
          <w:tcPr>
            <w:tcW w:w="2356" w:type="dxa"/>
            <w:tcBorders>
              <w:top w:val="nil"/>
              <w:left w:val="nil"/>
              <w:bottom w:val="nil"/>
              <w:right w:val="nil"/>
            </w:tcBorders>
            <w:shd w:val="clear" w:color="auto" w:fill="auto"/>
            <w:noWrap/>
            <w:vAlign w:val="center"/>
          </w:tcPr>
          <w:p w14:paraId="0F3C135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3.2</w:t>
            </w:r>
          </w:p>
        </w:tc>
      </w:tr>
      <w:tr w14:paraId="7E1AC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44B05F5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其他服务业</w:t>
            </w:r>
          </w:p>
        </w:tc>
        <w:tc>
          <w:tcPr>
            <w:tcW w:w="1511" w:type="dxa"/>
            <w:tcBorders>
              <w:top w:val="nil"/>
              <w:left w:val="nil"/>
              <w:bottom w:val="nil"/>
              <w:right w:val="single" w:color="000000" w:sz="4" w:space="0"/>
            </w:tcBorders>
            <w:shd w:val="clear" w:color="auto" w:fill="auto"/>
            <w:noWrap/>
            <w:vAlign w:val="center"/>
          </w:tcPr>
          <w:p w14:paraId="615B581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106370</w:t>
            </w:r>
          </w:p>
        </w:tc>
        <w:tc>
          <w:tcPr>
            <w:tcW w:w="2356" w:type="dxa"/>
            <w:tcBorders>
              <w:top w:val="nil"/>
              <w:left w:val="nil"/>
              <w:bottom w:val="nil"/>
              <w:right w:val="nil"/>
            </w:tcBorders>
            <w:shd w:val="clear" w:color="auto" w:fill="auto"/>
            <w:noWrap/>
            <w:vAlign w:val="center"/>
          </w:tcPr>
          <w:p w14:paraId="516FD63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3.3</w:t>
            </w:r>
          </w:p>
        </w:tc>
      </w:tr>
      <w:tr w14:paraId="10CC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4613" w:type="dxa"/>
            <w:tcBorders>
              <w:top w:val="nil"/>
              <w:left w:val="nil"/>
              <w:bottom w:val="nil"/>
              <w:right w:val="single" w:color="000000" w:sz="4" w:space="0"/>
            </w:tcBorders>
            <w:shd w:val="clear" w:color="auto" w:fill="auto"/>
            <w:noWrap/>
            <w:vAlign w:val="center"/>
          </w:tcPr>
          <w:p w14:paraId="6A10579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营利性服务业</w:t>
            </w:r>
          </w:p>
        </w:tc>
        <w:tc>
          <w:tcPr>
            <w:tcW w:w="1511" w:type="dxa"/>
            <w:tcBorders>
              <w:top w:val="nil"/>
              <w:left w:val="nil"/>
              <w:bottom w:val="nil"/>
              <w:right w:val="single" w:color="000000" w:sz="4" w:space="0"/>
            </w:tcBorders>
            <w:shd w:val="clear" w:color="auto" w:fill="auto"/>
            <w:noWrap/>
            <w:vAlign w:val="center"/>
          </w:tcPr>
          <w:p w14:paraId="36FF3A45">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27794</w:t>
            </w:r>
          </w:p>
        </w:tc>
        <w:tc>
          <w:tcPr>
            <w:tcW w:w="2356" w:type="dxa"/>
            <w:tcBorders>
              <w:top w:val="nil"/>
              <w:left w:val="nil"/>
              <w:bottom w:val="nil"/>
              <w:right w:val="nil"/>
            </w:tcBorders>
            <w:shd w:val="clear" w:color="auto" w:fill="auto"/>
            <w:noWrap/>
            <w:vAlign w:val="center"/>
          </w:tcPr>
          <w:p w14:paraId="5B64ABE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5.1</w:t>
            </w:r>
          </w:p>
        </w:tc>
      </w:tr>
      <w:tr w14:paraId="196E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4613" w:type="dxa"/>
            <w:tcBorders>
              <w:top w:val="nil"/>
              <w:left w:val="nil"/>
              <w:bottom w:val="single" w:color="000000" w:sz="4" w:space="0"/>
              <w:right w:val="single" w:color="000000" w:sz="4" w:space="0"/>
            </w:tcBorders>
            <w:shd w:val="clear" w:color="auto" w:fill="auto"/>
            <w:noWrap/>
            <w:vAlign w:val="center"/>
          </w:tcPr>
          <w:p w14:paraId="0EC9A0E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非营利性服务业</w:t>
            </w:r>
          </w:p>
        </w:tc>
        <w:tc>
          <w:tcPr>
            <w:tcW w:w="1511" w:type="dxa"/>
            <w:tcBorders>
              <w:top w:val="nil"/>
              <w:left w:val="nil"/>
              <w:bottom w:val="single" w:color="000000" w:sz="4" w:space="0"/>
              <w:right w:val="single" w:color="000000" w:sz="4" w:space="0"/>
            </w:tcBorders>
            <w:shd w:val="clear" w:color="auto" w:fill="auto"/>
            <w:noWrap/>
            <w:vAlign w:val="center"/>
          </w:tcPr>
          <w:p w14:paraId="7FBB1494">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78576</w:t>
            </w:r>
          </w:p>
        </w:tc>
        <w:tc>
          <w:tcPr>
            <w:tcW w:w="2356" w:type="dxa"/>
            <w:tcBorders>
              <w:top w:val="nil"/>
              <w:left w:val="nil"/>
              <w:bottom w:val="single" w:color="000000" w:sz="4" w:space="0"/>
              <w:right w:val="nil"/>
            </w:tcBorders>
            <w:shd w:val="clear" w:color="auto" w:fill="auto"/>
            <w:noWrap/>
            <w:vAlign w:val="center"/>
          </w:tcPr>
          <w:p w14:paraId="12E0228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2.7</w:t>
            </w:r>
          </w:p>
        </w:tc>
      </w:tr>
    </w:tbl>
    <w:p w14:paraId="64B580F5">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p w14:paraId="5DF2F2B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就业：</w:t>
      </w:r>
      <w:r>
        <w:rPr>
          <w:rFonts w:hint="eastAsia" w:ascii="仿宋_GB2312" w:hAnsi="仿宋_GB2312" w:eastAsia="仿宋_GB2312" w:cs="仿宋_GB2312"/>
          <w:color w:val="auto"/>
          <w:sz w:val="32"/>
          <w:szCs w:val="32"/>
          <w:highlight w:val="none"/>
        </w:rPr>
        <w:t>城镇登记失业率控制在3%以内。年内就业技能培训</w:t>
      </w:r>
      <w:r>
        <w:rPr>
          <w:rFonts w:hint="eastAsia" w:ascii="仿宋_GB2312" w:hAnsi="仿宋_GB2312" w:eastAsia="仿宋_GB2312" w:cs="仿宋_GB2312"/>
          <w:color w:val="auto"/>
          <w:sz w:val="32"/>
          <w:szCs w:val="32"/>
          <w:highlight w:val="none"/>
          <w:lang w:val="en-US" w:eastAsia="zh-CN"/>
        </w:rPr>
        <w:t>381</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创业培训</w:t>
      </w:r>
      <w:r>
        <w:rPr>
          <w:rFonts w:hint="eastAsia" w:ascii="仿宋_GB2312" w:hAnsi="仿宋_GB2312" w:eastAsia="仿宋_GB2312" w:cs="仿宋_GB2312"/>
          <w:color w:val="auto"/>
          <w:sz w:val="32"/>
          <w:szCs w:val="32"/>
          <w:highlight w:val="none"/>
          <w:lang w:val="en-US" w:eastAsia="zh-CN"/>
        </w:rPr>
        <w:t>72</w:t>
      </w:r>
      <w:r>
        <w:rPr>
          <w:rFonts w:hint="eastAsia" w:ascii="仿宋_GB2312" w:hAnsi="仿宋_GB2312" w:eastAsia="仿宋_GB2312" w:cs="仿宋_GB2312"/>
          <w:color w:val="auto"/>
          <w:sz w:val="32"/>
          <w:szCs w:val="32"/>
          <w:highlight w:val="none"/>
        </w:rPr>
        <w:t>人，企业职工培训</w:t>
      </w:r>
      <w:r>
        <w:rPr>
          <w:rFonts w:hint="eastAsia" w:ascii="仿宋_GB2312" w:hAnsi="仿宋_GB2312" w:eastAsia="仿宋_GB2312" w:cs="仿宋_GB2312"/>
          <w:color w:val="auto"/>
          <w:sz w:val="32"/>
          <w:szCs w:val="32"/>
          <w:highlight w:val="none"/>
          <w:lang w:val="en-US" w:eastAsia="zh-CN"/>
        </w:rPr>
        <w:t>52</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城镇</w:t>
      </w:r>
      <w:r>
        <w:rPr>
          <w:rFonts w:hint="eastAsia" w:ascii="仿宋_GB2312" w:hAnsi="仿宋_GB2312" w:eastAsia="仿宋_GB2312" w:cs="仿宋_GB2312"/>
          <w:color w:val="auto"/>
          <w:sz w:val="32"/>
          <w:szCs w:val="32"/>
          <w:highlight w:val="none"/>
        </w:rPr>
        <w:t>新增就业</w:t>
      </w:r>
      <w:r>
        <w:rPr>
          <w:rFonts w:hint="eastAsia" w:ascii="仿宋_GB2312" w:hAnsi="仿宋_GB2312" w:eastAsia="仿宋_GB2312" w:cs="仿宋_GB2312"/>
          <w:color w:val="auto"/>
          <w:sz w:val="32"/>
          <w:szCs w:val="32"/>
          <w:highlight w:val="none"/>
          <w:lang w:val="en-US" w:eastAsia="zh-CN"/>
        </w:rPr>
        <w:t>424</w:t>
      </w:r>
      <w:r>
        <w:rPr>
          <w:rFonts w:hint="eastAsia" w:ascii="仿宋_GB2312" w:hAnsi="仿宋_GB2312" w:eastAsia="仿宋_GB2312" w:cs="仿宋_GB2312"/>
          <w:color w:val="auto"/>
          <w:sz w:val="32"/>
          <w:szCs w:val="32"/>
          <w:highlight w:val="none"/>
        </w:rPr>
        <w:t>人。共输转</w:t>
      </w:r>
      <w:r>
        <w:rPr>
          <w:rFonts w:hint="eastAsia" w:ascii="仿宋_GB2312" w:hAnsi="仿宋_GB2312" w:eastAsia="仿宋_GB2312" w:cs="仿宋_GB2312"/>
          <w:color w:val="auto"/>
          <w:sz w:val="32"/>
          <w:szCs w:val="32"/>
          <w:highlight w:val="none"/>
          <w:lang w:val="en-US" w:eastAsia="zh-CN"/>
        </w:rPr>
        <w:t>农牧村</w:t>
      </w:r>
      <w:r>
        <w:rPr>
          <w:rFonts w:hint="eastAsia" w:ascii="仿宋_GB2312" w:hAnsi="仿宋_GB2312" w:eastAsia="仿宋_GB2312" w:cs="仿宋_GB2312"/>
          <w:color w:val="auto"/>
          <w:sz w:val="32"/>
          <w:szCs w:val="32"/>
          <w:highlight w:val="none"/>
        </w:rPr>
        <w:t>劳动力0.2万人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实现劳务收入</w:t>
      </w:r>
      <w:r>
        <w:rPr>
          <w:rFonts w:hint="eastAsia" w:ascii="仿宋_GB2312" w:hAnsi="仿宋_GB2312" w:eastAsia="仿宋_GB2312" w:cs="仿宋_GB2312"/>
          <w:color w:val="auto"/>
          <w:sz w:val="32"/>
          <w:szCs w:val="32"/>
          <w:highlight w:val="none"/>
          <w:lang w:val="en-US" w:eastAsia="zh-CN"/>
        </w:rPr>
        <w:t>6541</w:t>
      </w:r>
      <w:r>
        <w:rPr>
          <w:rFonts w:hint="eastAsia" w:ascii="仿宋_GB2312" w:hAnsi="仿宋_GB2312" w:eastAsia="仿宋_GB2312" w:cs="仿宋_GB2312"/>
          <w:color w:val="auto"/>
          <w:sz w:val="32"/>
          <w:szCs w:val="32"/>
          <w:highlight w:val="none"/>
        </w:rPr>
        <w:t>万元。</w:t>
      </w:r>
    </w:p>
    <w:p w14:paraId="4CE29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二、农业</w:t>
      </w:r>
    </w:p>
    <w:p w14:paraId="478B11B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面积：</w:t>
      </w:r>
      <w:r>
        <w:rPr>
          <w:rFonts w:hint="eastAsia" w:ascii="仿宋_GB2312" w:hAnsi="仿宋_GB2312" w:eastAsia="仿宋_GB2312" w:cs="仿宋_GB2312"/>
          <w:color w:val="auto"/>
          <w:sz w:val="32"/>
          <w:szCs w:val="32"/>
          <w:highlight w:val="none"/>
        </w:rPr>
        <w:t>全年农作物播种面积</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万亩，较上年增加1.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万亩，增长</w:t>
      </w:r>
      <w:r>
        <w:rPr>
          <w:rFonts w:hint="eastAsia" w:ascii="仿宋_GB2312" w:hAnsi="仿宋_GB2312" w:eastAsia="仿宋_GB2312" w:cs="仿宋_GB2312"/>
          <w:color w:val="auto"/>
          <w:sz w:val="32"/>
          <w:szCs w:val="32"/>
          <w:highlight w:val="none"/>
          <w:lang w:val="en-US" w:eastAsia="zh-CN"/>
        </w:rPr>
        <w:t>6.82</w:t>
      </w:r>
      <w:r>
        <w:rPr>
          <w:rFonts w:hint="eastAsia" w:ascii="仿宋_GB2312" w:hAnsi="仿宋_GB2312" w:eastAsia="仿宋_GB2312" w:cs="仿宋_GB2312"/>
          <w:color w:val="auto"/>
          <w:sz w:val="32"/>
          <w:szCs w:val="32"/>
          <w:highlight w:val="none"/>
        </w:rPr>
        <w:t>%，其中粮食作物种植面积</w:t>
      </w:r>
      <w:r>
        <w:rPr>
          <w:rFonts w:hint="eastAsia" w:ascii="仿宋_GB2312" w:hAnsi="仿宋_GB2312" w:eastAsia="仿宋_GB2312" w:cs="仿宋_GB2312"/>
          <w:color w:val="auto"/>
          <w:sz w:val="32"/>
          <w:szCs w:val="32"/>
          <w:highlight w:val="none"/>
          <w:lang w:val="en-US" w:eastAsia="zh-CN"/>
        </w:rPr>
        <w:t>12.26</w:t>
      </w:r>
      <w:r>
        <w:rPr>
          <w:rFonts w:hint="eastAsia" w:ascii="仿宋_GB2312" w:hAnsi="仿宋_GB2312" w:eastAsia="仿宋_GB2312" w:cs="仿宋_GB2312"/>
          <w:color w:val="auto"/>
          <w:sz w:val="32"/>
          <w:szCs w:val="32"/>
          <w:highlight w:val="none"/>
        </w:rPr>
        <w:t>万亩，油料种植面积0.</w:t>
      </w:r>
      <w:r>
        <w:rPr>
          <w:rFonts w:hint="eastAsia" w:ascii="仿宋_GB2312" w:hAnsi="仿宋_GB2312" w:eastAsia="仿宋_GB2312" w:cs="仿宋_GB2312"/>
          <w:color w:val="auto"/>
          <w:sz w:val="32"/>
          <w:szCs w:val="32"/>
          <w:highlight w:val="none"/>
          <w:lang w:val="en-US" w:eastAsia="zh-CN"/>
        </w:rPr>
        <w:t>48</w:t>
      </w:r>
      <w:r>
        <w:rPr>
          <w:rFonts w:hint="eastAsia" w:ascii="仿宋_GB2312" w:hAnsi="仿宋_GB2312" w:eastAsia="仿宋_GB2312" w:cs="仿宋_GB2312"/>
          <w:color w:val="auto"/>
          <w:sz w:val="32"/>
          <w:szCs w:val="32"/>
          <w:highlight w:val="none"/>
        </w:rPr>
        <w:t>万亩；蔬菜种植面积0.7</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万亩，中药材种植面积0.3</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万亩，蔬菜及其他制种面积0.0</w:t>
      </w:r>
      <w:r>
        <w:rPr>
          <w:rFonts w:hint="eastAsia" w:ascii="仿宋_GB2312" w:hAnsi="仿宋_GB2312" w:eastAsia="仿宋_GB2312" w:cs="仿宋_GB2312"/>
          <w:color w:val="auto"/>
          <w:sz w:val="32"/>
          <w:szCs w:val="32"/>
          <w:highlight w:val="none"/>
          <w:lang w:val="en-US" w:eastAsia="zh-CN"/>
        </w:rPr>
        <w:t>59</w:t>
      </w:r>
      <w:r>
        <w:rPr>
          <w:rFonts w:hint="eastAsia" w:ascii="仿宋_GB2312" w:hAnsi="仿宋_GB2312" w:eastAsia="仿宋_GB2312" w:cs="仿宋_GB2312"/>
          <w:color w:val="auto"/>
          <w:sz w:val="32"/>
          <w:szCs w:val="32"/>
          <w:highlight w:val="none"/>
        </w:rPr>
        <w:t>万亩。</w:t>
      </w:r>
    </w:p>
    <w:p w14:paraId="4E87A7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w:t>
      </w:r>
      <w:r>
        <w:rPr>
          <w:rFonts w:hint="eastAsia" w:ascii="仿宋_GB2312" w:hAnsi="仿宋_GB2312" w:eastAsia="仿宋_GB2312" w:cs="仿宋_GB2312"/>
          <w:color w:val="auto"/>
          <w:sz w:val="32"/>
          <w:szCs w:val="32"/>
          <w:highlight w:val="none"/>
        </w:rPr>
        <w:t>全年粮食总产量</w:t>
      </w:r>
      <w:r>
        <w:rPr>
          <w:rFonts w:hint="eastAsia" w:ascii="仿宋_GB2312" w:hAnsi="仿宋_GB2312" w:eastAsia="仿宋_GB2312" w:cs="仿宋_GB2312"/>
          <w:color w:val="auto"/>
          <w:sz w:val="32"/>
          <w:szCs w:val="32"/>
          <w:highlight w:val="none"/>
          <w:lang w:val="en-US" w:eastAsia="zh-CN"/>
        </w:rPr>
        <w:t>51023.08</w:t>
      </w:r>
      <w:r>
        <w:rPr>
          <w:rFonts w:hint="eastAsia" w:ascii="仿宋_GB2312" w:hAnsi="仿宋_GB2312" w:eastAsia="仿宋_GB2312" w:cs="仿宋_GB2312"/>
          <w:color w:val="auto"/>
          <w:sz w:val="32"/>
          <w:szCs w:val="32"/>
          <w:highlight w:val="none"/>
        </w:rPr>
        <w:t>吨，较上年增加</w:t>
      </w:r>
      <w:r>
        <w:rPr>
          <w:rFonts w:hint="eastAsia" w:ascii="仿宋_GB2312" w:hAnsi="仿宋_GB2312" w:eastAsia="仿宋_GB2312" w:cs="仿宋_GB2312"/>
          <w:color w:val="auto"/>
          <w:sz w:val="32"/>
          <w:szCs w:val="32"/>
          <w:highlight w:val="none"/>
          <w:lang w:val="en-US" w:eastAsia="zh-CN"/>
        </w:rPr>
        <w:t>4479.12</w:t>
      </w:r>
      <w:r>
        <w:rPr>
          <w:rFonts w:hint="eastAsia" w:ascii="仿宋_GB2312" w:hAnsi="仿宋_GB2312" w:eastAsia="仿宋_GB2312" w:cs="仿宋_GB2312"/>
          <w:color w:val="auto"/>
          <w:sz w:val="32"/>
          <w:szCs w:val="32"/>
          <w:highlight w:val="none"/>
        </w:rPr>
        <w:t>吨，同比增长</w:t>
      </w:r>
      <w:r>
        <w:rPr>
          <w:rFonts w:hint="eastAsia" w:ascii="仿宋_GB2312" w:hAnsi="仿宋_GB2312" w:eastAsia="仿宋_GB2312" w:cs="仿宋_GB2312"/>
          <w:color w:val="auto"/>
          <w:sz w:val="32"/>
          <w:szCs w:val="32"/>
          <w:highlight w:val="none"/>
          <w:lang w:val="en-US" w:eastAsia="zh-CN"/>
        </w:rPr>
        <w:t>9.62</w:t>
      </w:r>
      <w:r>
        <w:rPr>
          <w:rFonts w:hint="eastAsia" w:ascii="仿宋_GB2312" w:hAnsi="仿宋_GB2312" w:eastAsia="仿宋_GB2312" w:cs="仿宋_GB2312"/>
          <w:color w:val="auto"/>
          <w:sz w:val="32"/>
          <w:szCs w:val="32"/>
          <w:highlight w:val="none"/>
        </w:rPr>
        <w:t>%。其中，夏粮产量</w:t>
      </w:r>
      <w:r>
        <w:rPr>
          <w:rFonts w:hint="eastAsia" w:ascii="仿宋_GB2312" w:hAnsi="仿宋_GB2312" w:eastAsia="仿宋_GB2312" w:cs="仿宋_GB2312"/>
          <w:color w:val="auto"/>
          <w:sz w:val="32"/>
          <w:szCs w:val="32"/>
          <w:highlight w:val="none"/>
          <w:lang w:val="en-US" w:eastAsia="zh-CN"/>
        </w:rPr>
        <w:t>21025.89</w:t>
      </w:r>
      <w:r>
        <w:rPr>
          <w:rFonts w:hint="eastAsia" w:ascii="仿宋_GB2312" w:hAnsi="仿宋_GB2312" w:eastAsia="仿宋_GB2312" w:cs="仿宋_GB2312"/>
          <w:color w:val="auto"/>
          <w:sz w:val="32"/>
          <w:szCs w:val="32"/>
          <w:highlight w:val="none"/>
        </w:rPr>
        <w:t>吨，较上年</w:t>
      </w:r>
      <w:r>
        <w:rPr>
          <w:rFonts w:hint="eastAsia" w:ascii="仿宋_GB2312" w:hAnsi="仿宋_GB2312" w:eastAsia="仿宋_GB2312" w:cs="仿宋_GB2312"/>
          <w:color w:val="auto"/>
          <w:sz w:val="32"/>
          <w:szCs w:val="32"/>
          <w:highlight w:val="none"/>
          <w:lang w:val="en-US" w:eastAsia="zh-CN"/>
        </w:rPr>
        <w:t>减少2704.27</w:t>
      </w:r>
      <w:r>
        <w:rPr>
          <w:rFonts w:hint="eastAsia" w:ascii="仿宋_GB2312" w:hAnsi="仿宋_GB2312" w:eastAsia="仿宋_GB2312" w:cs="仿宋_GB2312"/>
          <w:color w:val="auto"/>
          <w:sz w:val="32"/>
          <w:szCs w:val="32"/>
          <w:highlight w:val="none"/>
        </w:rPr>
        <w:t>吨，同比</w:t>
      </w:r>
      <w:r>
        <w:rPr>
          <w:rFonts w:hint="eastAsia" w:ascii="仿宋_GB2312" w:hAnsi="仿宋_GB2312" w:eastAsia="仿宋_GB2312" w:cs="仿宋_GB2312"/>
          <w:color w:val="auto"/>
          <w:sz w:val="32"/>
          <w:szCs w:val="32"/>
          <w:highlight w:val="none"/>
          <w:lang w:val="en-US" w:eastAsia="zh-CN"/>
        </w:rPr>
        <w:t>下降11.4</w:t>
      </w:r>
      <w:r>
        <w:rPr>
          <w:rFonts w:hint="eastAsia" w:ascii="仿宋_GB2312" w:hAnsi="仿宋_GB2312" w:eastAsia="仿宋_GB2312" w:cs="仿宋_GB2312"/>
          <w:color w:val="auto"/>
          <w:sz w:val="32"/>
          <w:szCs w:val="32"/>
          <w:highlight w:val="none"/>
        </w:rPr>
        <w:t>%；秋粮产量</w:t>
      </w:r>
      <w:r>
        <w:rPr>
          <w:rFonts w:hint="eastAsia" w:ascii="仿宋_GB2312" w:hAnsi="仿宋_GB2312" w:eastAsia="仿宋_GB2312" w:cs="仿宋_GB2312"/>
          <w:color w:val="auto"/>
          <w:sz w:val="32"/>
          <w:szCs w:val="32"/>
          <w:highlight w:val="none"/>
          <w:lang w:val="en-US" w:eastAsia="zh-CN"/>
        </w:rPr>
        <w:t>29997.19</w:t>
      </w:r>
      <w:r>
        <w:rPr>
          <w:rFonts w:hint="eastAsia" w:ascii="仿宋_GB2312" w:hAnsi="仿宋_GB2312" w:eastAsia="仿宋_GB2312" w:cs="仿宋_GB2312"/>
          <w:color w:val="auto"/>
          <w:sz w:val="32"/>
          <w:szCs w:val="32"/>
          <w:highlight w:val="none"/>
        </w:rPr>
        <w:t>吨，较上年</w:t>
      </w:r>
      <w:r>
        <w:rPr>
          <w:rFonts w:hint="eastAsia" w:ascii="仿宋_GB2312" w:hAnsi="仿宋_GB2312" w:eastAsia="仿宋_GB2312" w:cs="仿宋_GB2312"/>
          <w:color w:val="auto"/>
          <w:sz w:val="32"/>
          <w:szCs w:val="32"/>
          <w:highlight w:val="none"/>
          <w:lang w:val="en-US" w:eastAsia="zh-CN"/>
        </w:rPr>
        <w:t>增加7183.83</w:t>
      </w:r>
      <w:r>
        <w:rPr>
          <w:rFonts w:hint="eastAsia" w:ascii="仿宋_GB2312" w:hAnsi="仿宋_GB2312" w:eastAsia="仿宋_GB2312" w:cs="仿宋_GB2312"/>
          <w:color w:val="auto"/>
          <w:sz w:val="32"/>
          <w:szCs w:val="32"/>
          <w:highlight w:val="none"/>
        </w:rPr>
        <w:t>吨，同比</w:t>
      </w:r>
      <w:r>
        <w:rPr>
          <w:rFonts w:hint="eastAsia" w:ascii="仿宋_GB2312" w:hAnsi="仿宋_GB2312" w:eastAsia="仿宋_GB2312" w:cs="仿宋_GB2312"/>
          <w:color w:val="auto"/>
          <w:sz w:val="32"/>
          <w:szCs w:val="32"/>
          <w:highlight w:val="none"/>
          <w:lang w:val="en-US" w:eastAsia="zh-CN"/>
        </w:rPr>
        <w:t>增长31.5</w:t>
      </w:r>
      <w:r>
        <w:rPr>
          <w:rFonts w:hint="eastAsia" w:ascii="仿宋_GB2312" w:hAnsi="仿宋_GB2312" w:eastAsia="仿宋_GB2312" w:cs="仿宋_GB2312"/>
          <w:color w:val="auto"/>
          <w:sz w:val="32"/>
          <w:szCs w:val="32"/>
          <w:highlight w:val="none"/>
        </w:rPr>
        <w:t>%。主要粮食品种中，小麦产量</w:t>
      </w:r>
      <w:r>
        <w:rPr>
          <w:rFonts w:hint="eastAsia" w:ascii="仿宋_GB2312" w:hAnsi="仿宋_GB2312" w:eastAsia="仿宋_GB2312" w:cs="仿宋_GB2312"/>
          <w:color w:val="auto"/>
          <w:sz w:val="32"/>
          <w:szCs w:val="32"/>
          <w:highlight w:val="none"/>
          <w:lang w:val="en-US" w:eastAsia="zh-CN"/>
        </w:rPr>
        <w:t>6740.79</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大麦产量</w:t>
      </w:r>
      <w:r>
        <w:rPr>
          <w:rFonts w:hint="eastAsia" w:ascii="仿宋_GB2312" w:hAnsi="仿宋_GB2312" w:eastAsia="仿宋_GB2312" w:cs="仿宋_GB2312"/>
          <w:color w:val="auto"/>
          <w:sz w:val="32"/>
          <w:szCs w:val="32"/>
          <w:highlight w:val="none"/>
          <w:lang w:val="en-US" w:eastAsia="zh-CN"/>
        </w:rPr>
        <w:t>3903.57</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玉米产量</w:t>
      </w:r>
      <w:r>
        <w:rPr>
          <w:rFonts w:hint="eastAsia" w:ascii="仿宋_GB2312" w:hAnsi="仿宋_GB2312" w:eastAsia="仿宋_GB2312" w:cs="仿宋_GB2312"/>
          <w:color w:val="auto"/>
          <w:sz w:val="32"/>
          <w:szCs w:val="32"/>
          <w:highlight w:val="none"/>
          <w:lang w:val="en-US" w:eastAsia="zh-CN"/>
        </w:rPr>
        <w:t>27573.99</w:t>
      </w:r>
      <w:r>
        <w:rPr>
          <w:rFonts w:hint="eastAsia" w:ascii="仿宋_GB2312" w:hAnsi="仿宋_GB2312" w:eastAsia="仿宋_GB2312" w:cs="仿宋_GB2312"/>
          <w:color w:val="auto"/>
          <w:sz w:val="32"/>
          <w:szCs w:val="32"/>
          <w:highlight w:val="none"/>
        </w:rPr>
        <w:t>吨。主要经济作物中，油料产量</w:t>
      </w:r>
      <w:r>
        <w:rPr>
          <w:rFonts w:hint="eastAsia" w:ascii="仿宋_GB2312" w:hAnsi="仿宋_GB2312" w:eastAsia="仿宋_GB2312" w:cs="仿宋_GB2312"/>
          <w:color w:val="auto"/>
          <w:sz w:val="32"/>
          <w:szCs w:val="32"/>
          <w:highlight w:val="none"/>
          <w:lang w:val="en-US" w:eastAsia="zh-CN"/>
        </w:rPr>
        <w:t>998.99</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蔬菜产量</w:t>
      </w:r>
      <w:r>
        <w:rPr>
          <w:rFonts w:hint="eastAsia" w:ascii="仿宋_GB2312" w:hAnsi="仿宋_GB2312" w:eastAsia="仿宋_GB2312" w:cs="仿宋_GB2312"/>
          <w:color w:val="auto"/>
          <w:sz w:val="32"/>
          <w:szCs w:val="32"/>
          <w:highlight w:val="none"/>
          <w:lang w:val="en-US" w:eastAsia="zh-CN"/>
        </w:rPr>
        <w:t>27635.55</w:t>
      </w:r>
      <w:r>
        <w:rPr>
          <w:rFonts w:hint="eastAsia" w:ascii="仿宋_GB2312" w:hAnsi="仿宋_GB2312" w:eastAsia="仿宋_GB2312" w:cs="仿宋_GB2312"/>
          <w:color w:val="auto"/>
          <w:sz w:val="32"/>
          <w:szCs w:val="32"/>
          <w:highlight w:val="none"/>
        </w:rPr>
        <w:t>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中药材产量</w:t>
      </w:r>
      <w:r>
        <w:rPr>
          <w:rFonts w:hint="eastAsia" w:ascii="仿宋_GB2312" w:hAnsi="仿宋_GB2312" w:eastAsia="仿宋_GB2312" w:cs="仿宋_GB2312"/>
          <w:color w:val="auto"/>
          <w:sz w:val="32"/>
          <w:szCs w:val="32"/>
          <w:highlight w:val="none"/>
          <w:lang w:val="en-US" w:eastAsia="zh-CN"/>
        </w:rPr>
        <w:t>634</w:t>
      </w:r>
      <w:r>
        <w:rPr>
          <w:rFonts w:hint="eastAsia" w:ascii="仿宋_GB2312" w:hAnsi="仿宋_GB2312" w:eastAsia="仿宋_GB2312" w:cs="仿宋_GB2312"/>
          <w:color w:val="auto"/>
          <w:sz w:val="32"/>
          <w:szCs w:val="32"/>
          <w:highlight w:val="none"/>
        </w:rPr>
        <w:t>吨。</w:t>
      </w:r>
    </w:p>
    <w:p w14:paraId="1F989479">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tbl>
      <w:tblPr>
        <w:tblStyle w:val="8"/>
        <w:tblW w:w="8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7"/>
        <w:gridCol w:w="1276"/>
        <w:gridCol w:w="2157"/>
        <w:gridCol w:w="2150"/>
      </w:tblGrid>
      <w:tr w14:paraId="5124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trPr>
        <w:tc>
          <w:tcPr>
            <w:tcW w:w="8180" w:type="dxa"/>
            <w:gridSpan w:val="4"/>
            <w:tcBorders>
              <w:top w:val="nil"/>
              <w:left w:val="nil"/>
              <w:bottom w:val="nil"/>
              <w:right w:val="nil"/>
            </w:tcBorders>
            <w:shd w:val="clear" w:color="auto" w:fill="auto"/>
            <w:noWrap/>
            <w:vAlign w:val="center"/>
          </w:tcPr>
          <w:p w14:paraId="646568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表2  2024年主要农产品产量</w:t>
            </w:r>
          </w:p>
        </w:tc>
      </w:tr>
      <w:tr w14:paraId="3EB7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597" w:type="dxa"/>
            <w:tcBorders>
              <w:top w:val="single" w:color="000000" w:sz="4" w:space="0"/>
              <w:left w:val="nil"/>
              <w:bottom w:val="nil"/>
              <w:right w:val="single" w:color="000000" w:sz="4" w:space="0"/>
            </w:tcBorders>
            <w:shd w:val="clear" w:color="auto" w:fill="auto"/>
            <w:noWrap/>
            <w:vAlign w:val="center"/>
          </w:tcPr>
          <w:p w14:paraId="6DECB8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1276" w:type="dxa"/>
            <w:tcBorders>
              <w:top w:val="single" w:color="000000" w:sz="4" w:space="0"/>
              <w:left w:val="nil"/>
              <w:bottom w:val="nil"/>
              <w:right w:val="single" w:color="000000" w:sz="4" w:space="0"/>
            </w:tcBorders>
            <w:shd w:val="clear" w:color="auto" w:fill="auto"/>
            <w:noWrap/>
            <w:vAlign w:val="center"/>
          </w:tcPr>
          <w:p w14:paraId="1A97B9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2157" w:type="dxa"/>
            <w:tcBorders>
              <w:top w:val="single" w:color="000000" w:sz="4" w:space="0"/>
              <w:left w:val="nil"/>
              <w:bottom w:val="nil"/>
              <w:right w:val="single" w:color="000000" w:sz="4" w:space="0"/>
            </w:tcBorders>
            <w:shd w:val="clear" w:color="auto" w:fill="auto"/>
            <w:noWrap/>
            <w:vAlign w:val="center"/>
          </w:tcPr>
          <w:p w14:paraId="795234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产量</w:t>
            </w:r>
          </w:p>
        </w:tc>
        <w:tc>
          <w:tcPr>
            <w:tcW w:w="2150" w:type="dxa"/>
            <w:tcBorders>
              <w:top w:val="single" w:color="000000" w:sz="4" w:space="0"/>
              <w:left w:val="nil"/>
              <w:bottom w:val="nil"/>
              <w:right w:val="nil"/>
            </w:tcBorders>
            <w:shd w:val="clear" w:color="auto" w:fill="auto"/>
            <w:noWrap/>
            <w:vAlign w:val="center"/>
          </w:tcPr>
          <w:p w14:paraId="187B79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增长%</w:t>
            </w:r>
          </w:p>
        </w:tc>
      </w:tr>
      <w:tr w14:paraId="794D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597" w:type="dxa"/>
            <w:tcBorders>
              <w:top w:val="single" w:color="000000" w:sz="4" w:space="0"/>
              <w:left w:val="nil"/>
              <w:bottom w:val="nil"/>
              <w:right w:val="single" w:color="000000" w:sz="4" w:space="0"/>
            </w:tcBorders>
            <w:shd w:val="clear" w:color="auto" w:fill="auto"/>
            <w:noWrap/>
            <w:vAlign w:val="center"/>
          </w:tcPr>
          <w:p w14:paraId="76B7C9F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粮食总产量</w:t>
            </w:r>
          </w:p>
        </w:tc>
        <w:tc>
          <w:tcPr>
            <w:tcW w:w="1276" w:type="dxa"/>
            <w:tcBorders>
              <w:top w:val="single" w:color="000000" w:sz="4" w:space="0"/>
              <w:left w:val="nil"/>
              <w:bottom w:val="nil"/>
              <w:right w:val="single" w:color="000000" w:sz="4" w:space="0"/>
            </w:tcBorders>
            <w:shd w:val="clear" w:color="auto" w:fill="auto"/>
            <w:noWrap/>
            <w:vAlign w:val="center"/>
          </w:tcPr>
          <w:p w14:paraId="0E483FA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single" w:color="000000" w:sz="4" w:space="0"/>
              <w:left w:val="nil"/>
              <w:bottom w:val="nil"/>
              <w:right w:val="single" w:color="000000" w:sz="4" w:space="0"/>
            </w:tcBorders>
            <w:shd w:val="clear" w:color="auto" w:fill="auto"/>
            <w:noWrap/>
            <w:vAlign w:val="center"/>
          </w:tcPr>
          <w:p w14:paraId="5F032CF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51023.08</w:t>
            </w:r>
          </w:p>
        </w:tc>
        <w:tc>
          <w:tcPr>
            <w:tcW w:w="2150" w:type="dxa"/>
            <w:tcBorders>
              <w:top w:val="single" w:color="000000" w:sz="4" w:space="0"/>
              <w:left w:val="nil"/>
              <w:bottom w:val="nil"/>
              <w:right w:val="nil"/>
            </w:tcBorders>
            <w:shd w:val="clear" w:color="auto" w:fill="auto"/>
            <w:noWrap/>
            <w:vAlign w:val="center"/>
          </w:tcPr>
          <w:p w14:paraId="718BDB3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9.62</w:t>
            </w:r>
          </w:p>
        </w:tc>
      </w:tr>
      <w:tr w14:paraId="23AA8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2597" w:type="dxa"/>
            <w:tcBorders>
              <w:top w:val="nil"/>
              <w:left w:val="nil"/>
              <w:bottom w:val="nil"/>
              <w:right w:val="single" w:color="000000" w:sz="4" w:space="0"/>
            </w:tcBorders>
            <w:shd w:val="clear" w:color="auto" w:fill="auto"/>
            <w:noWrap/>
            <w:vAlign w:val="center"/>
          </w:tcPr>
          <w:p w14:paraId="46D0DCB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其中：小麦</w:t>
            </w:r>
          </w:p>
        </w:tc>
        <w:tc>
          <w:tcPr>
            <w:tcW w:w="1276" w:type="dxa"/>
            <w:tcBorders>
              <w:top w:val="nil"/>
              <w:left w:val="nil"/>
              <w:bottom w:val="nil"/>
              <w:right w:val="single" w:color="000000" w:sz="4" w:space="0"/>
            </w:tcBorders>
            <w:shd w:val="clear" w:color="auto" w:fill="auto"/>
            <w:noWrap/>
            <w:vAlign w:val="center"/>
          </w:tcPr>
          <w:p w14:paraId="2CB85E6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nil"/>
              <w:left w:val="nil"/>
              <w:bottom w:val="nil"/>
              <w:right w:val="single" w:color="000000" w:sz="4" w:space="0"/>
            </w:tcBorders>
            <w:shd w:val="clear" w:color="auto" w:fill="auto"/>
            <w:noWrap/>
            <w:vAlign w:val="center"/>
          </w:tcPr>
          <w:p w14:paraId="6F89193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6740.79</w:t>
            </w:r>
          </w:p>
        </w:tc>
        <w:tc>
          <w:tcPr>
            <w:tcW w:w="2150" w:type="dxa"/>
            <w:tcBorders>
              <w:top w:val="nil"/>
              <w:left w:val="nil"/>
              <w:bottom w:val="nil"/>
              <w:right w:val="nil"/>
            </w:tcBorders>
            <w:shd w:val="clear" w:color="auto" w:fill="auto"/>
            <w:noWrap/>
            <w:vAlign w:val="center"/>
          </w:tcPr>
          <w:p w14:paraId="634E0528">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-1.39</w:t>
            </w:r>
          </w:p>
        </w:tc>
      </w:tr>
      <w:tr w14:paraId="42F3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2597" w:type="dxa"/>
            <w:tcBorders>
              <w:top w:val="nil"/>
              <w:left w:val="nil"/>
              <w:bottom w:val="nil"/>
              <w:right w:val="single" w:color="000000" w:sz="4" w:space="0"/>
            </w:tcBorders>
            <w:shd w:val="clear" w:color="auto" w:fill="auto"/>
            <w:noWrap/>
            <w:vAlign w:val="center"/>
          </w:tcPr>
          <w:p w14:paraId="3EDA24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大麦</w:t>
            </w:r>
          </w:p>
        </w:tc>
        <w:tc>
          <w:tcPr>
            <w:tcW w:w="1276" w:type="dxa"/>
            <w:tcBorders>
              <w:top w:val="nil"/>
              <w:left w:val="nil"/>
              <w:bottom w:val="nil"/>
              <w:right w:val="single" w:color="000000" w:sz="4" w:space="0"/>
            </w:tcBorders>
            <w:shd w:val="clear" w:color="auto" w:fill="auto"/>
            <w:noWrap/>
            <w:vAlign w:val="center"/>
          </w:tcPr>
          <w:p w14:paraId="446DB7A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nil"/>
              <w:left w:val="nil"/>
              <w:bottom w:val="nil"/>
              <w:right w:val="single" w:color="000000" w:sz="4" w:space="0"/>
            </w:tcBorders>
            <w:shd w:val="clear" w:color="auto" w:fill="auto"/>
            <w:noWrap/>
            <w:vAlign w:val="center"/>
          </w:tcPr>
          <w:p w14:paraId="1BF745C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3903.57</w:t>
            </w:r>
          </w:p>
        </w:tc>
        <w:tc>
          <w:tcPr>
            <w:tcW w:w="2150" w:type="dxa"/>
            <w:tcBorders>
              <w:top w:val="nil"/>
              <w:left w:val="nil"/>
              <w:bottom w:val="nil"/>
              <w:right w:val="nil"/>
            </w:tcBorders>
            <w:shd w:val="clear" w:color="auto" w:fill="auto"/>
            <w:noWrap/>
            <w:vAlign w:val="center"/>
          </w:tcPr>
          <w:p w14:paraId="78E0F5E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-28.94</w:t>
            </w:r>
          </w:p>
        </w:tc>
      </w:tr>
      <w:tr w14:paraId="2349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2597" w:type="dxa"/>
            <w:tcBorders>
              <w:top w:val="nil"/>
              <w:left w:val="nil"/>
              <w:bottom w:val="nil"/>
              <w:right w:val="single" w:color="000000" w:sz="4" w:space="0"/>
            </w:tcBorders>
            <w:shd w:val="clear" w:color="auto" w:fill="auto"/>
            <w:noWrap/>
            <w:vAlign w:val="center"/>
          </w:tcPr>
          <w:p w14:paraId="15887A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玉米</w:t>
            </w:r>
          </w:p>
        </w:tc>
        <w:tc>
          <w:tcPr>
            <w:tcW w:w="1276" w:type="dxa"/>
            <w:tcBorders>
              <w:top w:val="nil"/>
              <w:left w:val="nil"/>
              <w:bottom w:val="nil"/>
              <w:right w:val="single" w:color="000000" w:sz="4" w:space="0"/>
            </w:tcBorders>
            <w:shd w:val="clear" w:color="auto" w:fill="auto"/>
            <w:noWrap/>
            <w:vAlign w:val="center"/>
          </w:tcPr>
          <w:p w14:paraId="0230C3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nil"/>
              <w:left w:val="nil"/>
              <w:bottom w:val="nil"/>
              <w:right w:val="single" w:color="000000" w:sz="4" w:space="0"/>
            </w:tcBorders>
            <w:shd w:val="clear" w:color="auto" w:fill="auto"/>
            <w:noWrap/>
            <w:vAlign w:val="center"/>
          </w:tcPr>
          <w:p w14:paraId="6C768825">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27573.99</w:t>
            </w:r>
          </w:p>
        </w:tc>
        <w:tc>
          <w:tcPr>
            <w:tcW w:w="2150" w:type="dxa"/>
            <w:tcBorders>
              <w:top w:val="nil"/>
              <w:left w:val="nil"/>
              <w:bottom w:val="nil"/>
              <w:right w:val="nil"/>
            </w:tcBorders>
            <w:shd w:val="clear" w:color="auto" w:fill="auto"/>
            <w:noWrap/>
            <w:vAlign w:val="center"/>
          </w:tcPr>
          <w:p w14:paraId="5E23B04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27.29</w:t>
            </w:r>
          </w:p>
        </w:tc>
      </w:tr>
      <w:tr w14:paraId="7964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2597" w:type="dxa"/>
            <w:tcBorders>
              <w:top w:val="nil"/>
              <w:left w:val="nil"/>
              <w:bottom w:val="nil"/>
              <w:right w:val="single" w:color="000000" w:sz="4" w:space="0"/>
            </w:tcBorders>
            <w:shd w:val="clear" w:color="auto" w:fill="auto"/>
            <w:noWrap/>
            <w:vAlign w:val="center"/>
          </w:tcPr>
          <w:p w14:paraId="266A81C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油料</w:t>
            </w:r>
          </w:p>
        </w:tc>
        <w:tc>
          <w:tcPr>
            <w:tcW w:w="1276" w:type="dxa"/>
            <w:tcBorders>
              <w:top w:val="nil"/>
              <w:left w:val="nil"/>
              <w:bottom w:val="nil"/>
              <w:right w:val="single" w:color="000000" w:sz="4" w:space="0"/>
            </w:tcBorders>
            <w:shd w:val="clear" w:color="auto" w:fill="auto"/>
            <w:noWrap/>
            <w:vAlign w:val="center"/>
          </w:tcPr>
          <w:p w14:paraId="7D0145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nil"/>
              <w:left w:val="nil"/>
              <w:bottom w:val="nil"/>
              <w:right w:val="single" w:color="000000" w:sz="4" w:space="0"/>
            </w:tcBorders>
            <w:shd w:val="clear" w:color="auto" w:fill="auto"/>
            <w:noWrap/>
            <w:vAlign w:val="center"/>
          </w:tcPr>
          <w:p w14:paraId="18555E74">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998.99</w:t>
            </w:r>
          </w:p>
        </w:tc>
        <w:tc>
          <w:tcPr>
            <w:tcW w:w="2150" w:type="dxa"/>
            <w:tcBorders>
              <w:top w:val="nil"/>
              <w:left w:val="nil"/>
              <w:bottom w:val="nil"/>
              <w:right w:val="nil"/>
            </w:tcBorders>
            <w:shd w:val="clear" w:color="auto" w:fill="auto"/>
            <w:noWrap/>
            <w:vAlign w:val="center"/>
          </w:tcPr>
          <w:p w14:paraId="2701350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453.46</w:t>
            </w:r>
          </w:p>
        </w:tc>
      </w:tr>
      <w:tr w14:paraId="2A3E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2597" w:type="dxa"/>
            <w:tcBorders>
              <w:top w:val="nil"/>
              <w:left w:val="nil"/>
              <w:bottom w:val="nil"/>
              <w:right w:val="single" w:color="000000" w:sz="4" w:space="0"/>
            </w:tcBorders>
            <w:shd w:val="clear" w:color="auto" w:fill="auto"/>
            <w:noWrap/>
            <w:vAlign w:val="center"/>
          </w:tcPr>
          <w:p w14:paraId="4369134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蔬菜</w:t>
            </w:r>
          </w:p>
        </w:tc>
        <w:tc>
          <w:tcPr>
            <w:tcW w:w="1276" w:type="dxa"/>
            <w:tcBorders>
              <w:top w:val="nil"/>
              <w:left w:val="nil"/>
              <w:bottom w:val="nil"/>
              <w:right w:val="single" w:color="000000" w:sz="4" w:space="0"/>
            </w:tcBorders>
            <w:shd w:val="clear" w:color="auto" w:fill="auto"/>
            <w:noWrap/>
            <w:vAlign w:val="center"/>
          </w:tcPr>
          <w:p w14:paraId="7723BF0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nil"/>
              <w:left w:val="nil"/>
              <w:bottom w:val="nil"/>
              <w:right w:val="single" w:color="000000" w:sz="4" w:space="0"/>
            </w:tcBorders>
            <w:shd w:val="clear" w:color="auto" w:fill="auto"/>
            <w:noWrap/>
            <w:vAlign w:val="center"/>
          </w:tcPr>
          <w:p w14:paraId="2C2AB21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27635.55</w:t>
            </w:r>
          </w:p>
        </w:tc>
        <w:tc>
          <w:tcPr>
            <w:tcW w:w="2150" w:type="dxa"/>
            <w:tcBorders>
              <w:top w:val="nil"/>
              <w:left w:val="nil"/>
              <w:bottom w:val="nil"/>
              <w:right w:val="nil"/>
            </w:tcBorders>
            <w:shd w:val="clear" w:color="auto" w:fill="auto"/>
            <w:noWrap/>
            <w:vAlign w:val="center"/>
          </w:tcPr>
          <w:p w14:paraId="6FFA786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6.86</w:t>
            </w:r>
          </w:p>
        </w:tc>
      </w:tr>
      <w:tr w14:paraId="78A8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597" w:type="dxa"/>
            <w:tcBorders>
              <w:top w:val="nil"/>
              <w:left w:val="nil"/>
              <w:bottom w:val="single" w:color="000000" w:sz="4" w:space="0"/>
              <w:right w:val="single" w:color="000000" w:sz="4" w:space="0"/>
            </w:tcBorders>
            <w:shd w:val="clear" w:color="auto" w:fill="auto"/>
            <w:noWrap/>
            <w:vAlign w:val="center"/>
          </w:tcPr>
          <w:p w14:paraId="78293B3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中药材</w:t>
            </w:r>
          </w:p>
        </w:tc>
        <w:tc>
          <w:tcPr>
            <w:tcW w:w="1276" w:type="dxa"/>
            <w:tcBorders>
              <w:top w:val="nil"/>
              <w:left w:val="nil"/>
              <w:bottom w:val="single" w:color="000000" w:sz="4" w:space="0"/>
              <w:right w:val="single" w:color="000000" w:sz="4" w:space="0"/>
            </w:tcBorders>
            <w:shd w:val="clear" w:color="auto" w:fill="auto"/>
            <w:noWrap/>
            <w:vAlign w:val="center"/>
          </w:tcPr>
          <w:p w14:paraId="29E42CB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2157" w:type="dxa"/>
            <w:tcBorders>
              <w:top w:val="nil"/>
              <w:left w:val="nil"/>
              <w:bottom w:val="single" w:color="000000" w:sz="4" w:space="0"/>
              <w:right w:val="single" w:color="000000" w:sz="4" w:space="0"/>
            </w:tcBorders>
            <w:shd w:val="clear" w:color="auto" w:fill="auto"/>
            <w:noWrap/>
            <w:vAlign w:val="center"/>
          </w:tcPr>
          <w:p w14:paraId="0EB3897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634</w:t>
            </w:r>
          </w:p>
        </w:tc>
        <w:tc>
          <w:tcPr>
            <w:tcW w:w="2150" w:type="dxa"/>
            <w:tcBorders>
              <w:top w:val="nil"/>
              <w:left w:val="nil"/>
              <w:bottom w:val="single" w:color="000000" w:sz="4" w:space="0"/>
              <w:right w:val="nil"/>
            </w:tcBorders>
            <w:shd w:val="clear" w:color="auto" w:fill="auto"/>
            <w:noWrap/>
            <w:vAlign w:val="center"/>
          </w:tcPr>
          <w:p w14:paraId="098773F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14.43</w:t>
            </w:r>
          </w:p>
        </w:tc>
      </w:tr>
    </w:tbl>
    <w:p w14:paraId="3C2303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color w:val="auto"/>
          <w:sz w:val="32"/>
          <w:szCs w:val="32"/>
          <w:highlight w:val="none"/>
        </w:rPr>
      </w:pPr>
      <w:r>
        <w:rPr>
          <w:rFonts w:hint="eastAsia" w:ascii="仿宋_GB2312" w:hAnsi="仿宋_GB2312" w:eastAsia="仿宋_GB2312" w:cs="仿宋_GB2312"/>
          <w:b/>
          <w:bCs/>
          <w:color w:val="auto"/>
          <w:sz w:val="32"/>
          <w:szCs w:val="32"/>
          <w:highlight w:val="none"/>
        </w:rPr>
        <w:t>草原：</w:t>
      </w:r>
      <w:r>
        <w:rPr>
          <w:rFonts w:hint="eastAsia" w:ascii="仿宋_GB2312" w:hAnsi="仿宋_GB2312" w:eastAsia="仿宋_GB2312" w:cs="仿宋_GB2312"/>
          <w:color w:val="auto"/>
          <w:sz w:val="32"/>
          <w:szCs w:val="32"/>
          <w:highlight w:val="none"/>
        </w:rPr>
        <w:t>大力实施天然草原生态保护恢复、退牧还草等草原生态治理修复项目，严格落实以草定畜、休牧禁牧、草畜平衡制度，加强草原生态综合治理，在重点区域完成天然草原防蝗</w:t>
      </w:r>
      <w:r>
        <w:rPr>
          <w:rFonts w:hint="eastAsia" w:ascii="仿宋_GB2312" w:hAnsi="仿宋_GB2312" w:eastAsia="仿宋_GB2312" w:cs="仿宋_GB2312"/>
          <w:color w:val="auto"/>
          <w:sz w:val="32"/>
          <w:szCs w:val="32"/>
          <w:highlight w:val="none"/>
          <w:lang w:val="en-US" w:eastAsia="zh-CN"/>
        </w:rPr>
        <w:t>29.9</w:t>
      </w:r>
      <w:r>
        <w:rPr>
          <w:rFonts w:hint="eastAsia" w:ascii="仿宋_GB2312" w:hAnsi="仿宋_GB2312" w:eastAsia="仿宋_GB2312" w:cs="仿宋_GB2312"/>
          <w:color w:val="auto"/>
          <w:sz w:val="32"/>
          <w:szCs w:val="32"/>
          <w:highlight w:val="none"/>
        </w:rPr>
        <w:t>万亩，补播改良退化草原</w:t>
      </w:r>
      <w:r>
        <w:rPr>
          <w:rFonts w:hint="eastAsia" w:ascii="仿宋_GB2312" w:hAnsi="仿宋_GB2312" w:eastAsia="仿宋_GB2312" w:cs="仿宋_GB2312"/>
          <w:color w:val="auto"/>
          <w:sz w:val="32"/>
          <w:szCs w:val="32"/>
          <w:highlight w:val="none"/>
          <w:lang w:val="en-US" w:eastAsia="zh-CN"/>
        </w:rPr>
        <w:t>132.4</w:t>
      </w:r>
      <w:r>
        <w:rPr>
          <w:rFonts w:hint="eastAsia" w:ascii="仿宋_GB2312" w:hAnsi="仿宋_GB2312" w:eastAsia="仿宋_GB2312" w:cs="仿宋_GB2312"/>
          <w:color w:val="auto"/>
          <w:sz w:val="32"/>
          <w:szCs w:val="32"/>
          <w:highlight w:val="none"/>
        </w:rPr>
        <w:t>万亩，</w:t>
      </w:r>
      <w:r>
        <w:rPr>
          <w:rFonts w:hint="eastAsia" w:ascii="仿宋_GB2312" w:hAnsi="仿宋_GB2312" w:eastAsia="仿宋_GB2312" w:cs="仿宋_GB2312"/>
          <w:color w:val="auto"/>
          <w:sz w:val="32"/>
          <w:szCs w:val="32"/>
          <w:highlight w:val="none"/>
          <w:lang w:val="en-US" w:eastAsia="zh-CN"/>
        </w:rPr>
        <w:t>天然草原鼠害防治17.23万亩，</w:t>
      </w:r>
      <w:r>
        <w:rPr>
          <w:rFonts w:hint="eastAsia" w:ascii="仿宋_GB2312" w:hAnsi="仿宋_GB2312" w:eastAsia="仿宋_GB2312" w:cs="仿宋_GB2312"/>
          <w:color w:val="auto"/>
          <w:sz w:val="32"/>
          <w:szCs w:val="32"/>
          <w:highlight w:val="none"/>
        </w:rPr>
        <w:t>全县天然草原</w:t>
      </w:r>
      <w:r>
        <w:rPr>
          <w:rFonts w:hint="eastAsia" w:ascii="仿宋_GB2312" w:hAnsi="仿宋_GB2312" w:eastAsia="仿宋_GB2312" w:cs="仿宋_GB2312"/>
          <w:color w:val="auto"/>
          <w:sz w:val="32"/>
          <w:szCs w:val="32"/>
          <w:highlight w:val="none"/>
          <w:lang w:val="en-US" w:eastAsia="zh-CN"/>
        </w:rPr>
        <w:t>平均</w:t>
      </w:r>
      <w:r>
        <w:rPr>
          <w:rFonts w:hint="eastAsia" w:ascii="仿宋_GB2312" w:hAnsi="仿宋_GB2312" w:eastAsia="仿宋_GB2312" w:cs="仿宋_GB2312"/>
          <w:color w:val="auto"/>
          <w:sz w:val="32"/>
          <w:szCs w:val="32"/>
          <w:highlight w:val="none"/>
        </w:rPr>
        <w:t>总盖度达到</w:t>
      </w: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%，牧草平均高度达到</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厘米。天然草原草畜平衡区冬春草场核定理论载畜量</w:t>
      </w:r>
      <w:r>
        <w:rPr>
          <w:rFonts w:hint="eastAsia" w:ascii="仿宋_GB2312" w:hAnsi="仿宋_GB2312" w:eastAsia="仿宋_GB2312" w:cs="仿宋_GB2312"/>
          <w:color w:val="auto"/>
          <w:sz w:val="32"/>
          <w:szCs w:val="32"/>
          <w:highlight w:val="none"/>
          <w:lang w:val="en-US" w:eastAsia="zh-CN"/>
        </w:rPr>
        <w:t>56.06</w:t>
      </w:r>
      <w:r>
        <w:rPr>
          <w:rFonts w:hint="eastAsia" w:ascii="仿宋_GB2312" w:hAnsi="仿宋_GB2312" w:eastAsia="仿宋_GB2312" w:cs="仿宋_GB2312"/>
          <w:color w:val="auto"/>
          <w:sz w:val="32"/>
          <w:szCs w:val="32"/>
          <w:highlight w:val="none"/>
        </w:rPr>
        <w:t>万羊单位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夏秋草场理论载畜量</w:t>
      </w:r>
      <w:r>
        <w:rPr>
          <w:rFonts w:hint="eastAsia" w:ascii="仿宋_GB2312" w:hAnsi="仿宋_GB2312" w:eastAsia="仿宋_GB2312" w:cs="仿宋_GB2312"/>
          <w:color w:val="auto"/>
          <w:sz w:val="32"/>
          <w:szCs w:val="32"/>
          <w:highlight w:val="none"/>
          <w:lang w:val="en-US" w:eastAsia="zh-CN"/>
        </w:rPr>
        <w:t>156.11</w:t>
      </w:r>
      <w:r>
        <w:rPr>
          <w:rFonts w:hint="eastAsia" w:ascii="仿宋_GB2312" w:hAnsi="仿宋_GB2312" w:eastAsia="仿宋_GB2312" w:cs="仿宋_GB2312"/>
          <w:color w:val="auto"/>
          <w:sz w:val="32"/>
          <w:szCs w:val="32"/>
          <w:highlight w:val="none"/>
        </w:rPr>
        <w:t>万羊单位。</w:t>
      </w:r>
    </w:p>
    <w:p w14:paraId="6AC3E6E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牲畜</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全县年末大牲畜存栏</w:t>
      </w:r>
      <w:r>
        <w:rPr>
          <w:rFonts w:hint="eastAsia" w:ascii="仿宋_GB2312" w:hAnsi="仿宋_GB2312" w:eastAsia="仿宋_GB2312" w:cs="仿宋_GB2312"/>
          <w:color w:val="auto"/>
          <w:sz w:val="32"/>
          <w:szCs w:val="32"/>
          <w:highlight w:val="none"/>
          <w:lang w:val="en-US" w:eastAsia="zh-CN"/>
        </w:rPr>
        <w:t>8.42</w:t>
      </w:r>
      <w:r>
        <w:rPr>
          <w:rFonts w:hint="eastAsia" w:ascii="仿宋_GB2312" w:hAnsi="仿宋_GB2312" w:eastAsia="仿宋_GB2312" w:cs="仿宋_GB2312"/>
          <w:color w:val="auto"/>
          <w:sz w:val="32"/>
          <w:szCs w:val="32"/>
          <w:highlight w:val="none"/>
        </w:rPr>
        <w:t>万头，比上年末</w:t>
      </w:r>
      <w:r>
        <w:rPr>
          <w:rFonts w:hint="eastAsia" w:ascii="仿宋_GB2312" w:hAnsi="仿宋_GB2312" w:eastAsia="仿宋_GB2312" w:cs="仿宋_GB2312"/>
          <w:color w:val="auto"/>
          <w:sz w:val="32"/>
          <w:szCs w:val="32"/>
          <w:highlight w:val="none"/>
          <w:lang w:val="en-US" w:eastAsia="zh-CN"/>
        </w:rPr>
        <w:t>下降7.5</w:t>
      </w:r>
      <w:r>
        <w:rPr>
          <w:rFonts w:hint="eastAsia" w:ascii="仿宋_GB2312" w:hAnsi="仿宋_GB2312" w:eastAsia="仿宋_GB2312" w:cs="仿宋_GB2312"/>
          <w:color w:val="auto"/>
          <w:sz w:val="32"/>
          <w:szCs w:val="32"/>
          <w:highlight w:val="none"/>
        </w:rPr>
        <w:t>%；年末存栏牛</w:t>
      </w:r>
      <w:r>
        <w:rPr>
          <w:rFonts w:hint="eastAsia" w:ascii="仿宋_GB2312" w:hAnsi="仿宋_GB2312" w:eastAsia="仿宋_GB2312" w:cs="仿宋_GB2312"/>
          <w:color w:val="auto"/>
          <w:sz w:val="32"/>
          <w:szCs w:val="32"/>
          <w:highlight w:val="none"/>
          <w:lang w:val="en-US" w:eastAsia="zh-CN"/>
        </w:rPr>
        <w:t>7.74</w:t>
      </w:r>
      <w:r>
        <w:rPr>
          <w:rFonts w:hint="eastAsia" w:ascii="仿宋_GB2312" w:hAnsi="仿宋_GB2312" w:eastAsia="仿宋_GB2312" w:cs="仿宋_GB2312"/>
          <w:color w:val="auto"/>
          <w:sz w:val="32"/>
          <w:szCs w:val="32"/>
          <w:highlight w:val="none"/>
        </w:rPr>
        <w:t>万头，</w:t>
      </w:r>
      <w:bookmarkStart w:id="0" w:name="OLE_LINK9"/>
      <w:r>
        <w:rPr>
          <w:rFonts w:hint="eastAsia" w:ascii="仿宋_GB2312" w:hAnsi="仿宋_GB2312" w:eastAsia="仿宋_GB2312" w:cs="仿宋_GB2312"/>
          <w:color w:val="auto"/>
          <w:sz w:val="32"/>
          <w:szCs w:val="32"/>
          <w:highlight w:val="none"/>
          <w:lang w:val="en-US" w:eastAsia="zh-CN"/>
        </w:rPr>
        <w:t>下降</w:t>
      </w:r>
      <w:bookmarkEnd w:id="0"/>
      <w:r>
        <w:rPr>
          <w:rFonts w:hint="eastAsia" w:ascii="仿宋_GB2312" w:hAnsi="仿宋_GB2312" w:eastAsia="仿宋_GB2312" w:cs="仿宋_GB2312"/>
          <w:color w:val="auto"/>
          <w:sz w:val="32"/>
          <w:szCs w:val="32"/>
          <w:highlight w:val="none"/>
          <w:lang w:val="en-US" w:eastAsia="zh-CN"/>
        </w:rPr>
        <w:t>8.91</w:t>
      </w:r>
      <w:r>
        <w:rPr>
          <w:rFonts w:hint="eastAsia" w:ascii="仿宋_GB2312" w:hAnsi="仿宋_GB2312" w:eastAsia="仿宋_GB2312" w:cs="仿宋_GB2312"/>
          <w:color w:val="auto"/>
          <w:sz w:val="32"/>
          <w:szCs w:val="32"/>
          <w:highlight w:val="none"/>
        </w:rPr>
        <w:t>%；年末羊存栏</w:t>
      </w:r>
      <w:r>
        <w:rPr>
          <w:rFonts w:hint="eastAsia" w:ascii="仿宋_GB2312" w:hAnsi="仿宋_GB2312" w:eastAsia="仿宋_GB2312" w:cs="仿宋_GB2312"/>
          <w:color w:val="auto"/>
          <w:sz w:val="32"/>
          <w:szCs w:val="32"/>
          <w:highlight w:val="none"/>
          <w:lang w:val="en-US" w:eastAsia="zh-CN"/>
        </w:rPr>
        <w:t>68.96</w:t>
      </w:r>
      <w:r>
        <w:rPr>
          <w:rFonts w:hint="eastAsia" w:ascii="仿宋_GB2312" w:hAnsi="仿宋_GB2312" w:eastAsia="仿宋_GB2312" w:cs="仿宋_GB2312"/>
          <w:color w:val="auto"/>
          <w:sz w:val="32"/>
          <w:szCs w:val="32"/>
          <w:highlight w:val="none"/>
        </w:rPr>
        <w:t>万只</w:t>
      </w:r>
      <w:r>
        <w:rPr>
          <w:rFonts w:hint="eastAsia" w:ascii="仿宋_GB2312" w:hAnsi="仿宋_GB2312" w:eastAsia="仿宋_GB2312" w:cs="仿宋_GB2312"/>
          <w:color w:val="auto"/>
          <w:sz w:val="32"/>
          <w:szCs w:val="32"/>
          <w:highlight w:val="none"/>
          <w:lang w:eastAsia="zh-CN"/>
        </w:rPr>
        <w:t>，</w:t>
      </w:r>
      <w:bookmarkStart w:id="1" w:name="OLE_LINK10"/>
      <w:r>
        <w:rPr>
          <w:rFonts w:hint="eastAsia" w:ascii="仿宋_GB2312" w:hAnsi="仿宋_GB2312" w:eastAsia="仿宋_GB2312" w:cs="仿宋_GB2312"/>
          <w:color w:val="auto"/>
          <w:sz w:val="32"/>
          <w:szCs w:val="32"/>
          <w:highlight w:val="none"/>
          <w:lang w:val="en-US" w:eastAsia="zh-CN"/>
        </w:rPr>
        <w:t>下降</w:t>
      </w:r>
      <w:bookmarkEnd w:id="1"/>
      <w:r>
        <w:rPr>
          <w:rFonts w:hint="eastAsia" w:ascii="仿宋_GB2312" w:hAnsi="仿宋_GB2312" w:eastAsia="仿宋_GB2312" w:cs="仿宋_GB2312"/>
          <w:color w:val="auto"/>
          <w:sz w:val="32"/>
          <w:szCs w:val="32"/>
          <w:highlight w:val="none"/>
          <w:lang w:val="en-US" w:eastAsia="zh-CN"/>
        </w:rPr>
        <w:t>8.24</w:t>
      </w:r>
      <w:r>
        <w:rPr>
          <w:rFonts w:hint="eastAsia" w:ascii="仿宋_GB2312" w:hAnsi="仿宋_GB2312" w:eastAsia="仿宋_GB2312" w:cs="仿宋_GB2312"/>
          <w:color w:val="auto"/>
          <w:sz w:val="32"/>
          <w:szCs w:val="32"/>
          <w:highlight w:val="none"/>
        </w:rPr>
        <w:t>%。年内出栏各类牲畜</w:t>
      </w:r>
      <w:r>
        <w:rPr>
          <w:rFonts w:hint="eastAsia" w:ascii="仿宋_GB2312" w:hAnsi="仿宋_GB2312" w:eastAsia="仿宋_GB2312" w:cs="仿宋_GB2312"/>
          <w:color w:val="auto"/>
          <w:sz w:val="32"/>
          <w:szCs w:val="32"/>
          <w:highlight w:val="none"/>
          <w:lang w:val="en-US" w:eastAsia="zh-CN"/>
        </w:rPr>
        <w:t>78.57</w:t>
      </w:r>
      <w:r>
        <w:rPr>
          <w:rFonts w:hint="eastAsia" w:ascii="仿宋_GB2312" w:hAnsi="仿宋_GB2312" w:eastAsia="仿宋_GB2312" w:cs="仿宋_GB2312"/>
          <w:color w:val="auto"/>
          <w:sz w:val="32"/>
          <w:szCs w:val="32"/>
          <w:highlight w:val="none"/>
        </w:rPr>
        <w:t>万头只，比上年增长</w:t>
      </w:r>
      <w:r>
        <w:rPr>
          <w:rFonts w:hint="eastAsia" w:ascii="仿宋_GB2312" w:hAnsi="仿宋_GB2312" w:eastAsia="仿宋_GB2312" w:cs="仿宋_GB2312"/>
          <w:color w:val="auto"/>
          <w:sz w:val="32"/>
          <w:szCs w:val="32"/>
          <w:highlight w:val="none"/>
          <w:lang w:val="en-US" w:eastAsia="zh-CN"/>
        </w:rPr>
        <w:t>13.13</w:t>
      </w:r>
      <w:r>
        <w:rPr>
          <w:rFonts w:hint="eastAsia" w:ascii="仿宋_GB2312" w:hAnsi="仿宋_GB2312" w:eastAsia="仿宋_GB2312" w:cs="仿宋_GB2312"/>
          <w:color w:val="auto"/>
          <w:sz w:val="32"/>
          <w:szCs w:val="32"/>
          <w:highlight w:val="none"/>
        </w:rPr>
        <w:t>%。家禽饲养量</w:t>
      </w:r>
      <w:r>
        <w:rPr>
          <w:rFonts w:hint="eastAsia" w:ascii="仿宋_GB2312" w:hAnsi="仿宋_GB2312" w:eastAsia="仿宋_GB2312" w:cs="仿宋_GB2312"/>
          <w:color w:val="auto"/>
          <w:sz w:val="32"/>
          <w:szCs w:val="32"/>
          <w:highlight w:val="none"/>
          <w:lang w:val="en-US" w:eastAsia="zh-CN"/>
        </w:rPr>
        <w:t>6.27</w:t>
      </w:r>
      <w:r>
        <w:rPr>
          <w:rFonts w:hint="eastAsia" w:ascii="仿宋_GB2312" w:hAnsi="仿宋_GB2312" w:eastAsia="仿宋_GB2312" w:cs="仿宋_GB2312"/>
          <w:color w:val="auto"/>
          <w:sz w:val="32"/>
          <w:szCs w:val="32"/>
          <w:highlight w:val="none"/>
        </w:rPr>
        <w:t>万只，当年禽出栏2.</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3万只。全年肉类总产量</w:t>
      </w:r>
      <w:r>
        <w:rPr>
          <w:rFonts w:hint="eastAsia" w:ascii="仿宋_GB2312" w:hAnsi="仿宋_GB2312" w:eastAsia="仿宋_GB2312" w:cs="仿宋_GB2312"/>
          <w:color w:val="auto"/>
          <w:sz w:val="32"/>
          <w:szCs w:val="32"/>
          <w:highlight w:val="none"/>
          <w:lang w:val="en-US" w:eastAsia="zh-CN"/>
        </w:rPr>
        <w:t>15963.44</w:t>
      </w:r>
      <w:r>
        <w:rPr>
          <w:rFonts w:hint="eastAsia" w:ascii="仿宋_GB2312" w:hAnsi="仿宋_GB2312" w:eastAsia="仿宋_GB2312" w:cs="仿宋_GB2312"/>
          <w:color w:val="auto"/>
          <w:sz w:val="32"/>
          <w:szCs w:val="32"/>
          <w:highlight w:val="none"/>
        </w:rPr>
        <w:t>吨，同比增长</w:t>
      </w:r>
      <w:r>
        <w:rPr>
          <w:rFonts w:hint="eastAsia" w:ascii="仿宋_GB2312" w:hAnsi="仿宋_GB2312" w:eastAsia="仿宋_GB2312" w:cs="仿宋_GB2312"/>
          <w:color w:val="auto"/>
          <w:sz w:val="32"/>
          <w:szCs w:val="32"/>
          <w:highlight w:val="none"/>
          <w:lang w:val="en-US" w:eastAsia="zh-CN"/>
        </w:rPr>
        <w:t>9.93</w:t>
      </w:r>
      <w:r>
        <w:rPr>
          <w:rFonts w:hint="eastAsia" w:ascii="仿宋_GB2312" w:hAnsi="仿宋_GB2312" w:eastAsia="仿宋_GB2312" w:cs="仿宋_GB2312"/>
          <w:color w:val="auto"/>
          <w:sz w:val="32"/>
          <w:szCs w:val="32"/>
          <w:highlight w:val="none"/>
        </w:rPr>
        <w:t>%；绒毛社会产量</w:t>
      </w:r>
      <w:r>
        <w:rPr>
          <w:rFonts w:hint="eastAsia" w:ascii="仿宋_GB2312" w:hAnsi="仿宋_GB2312" w:eastAsia="仿宋_GB2312" w:cs="仿宋_GB2312"/>
          <w:color w:val="auto"/>
          <w:sz w:val="32"/>
          <w:szCs w:val="32"/>
          <w:highlight w:val="none"/>
          <w:lang w:val="en-US" w:eastAsia="zh-CN"/>
        </w:rPr>
        <w:t>1035.3</w:t>
      </w:r>
      <w:r>
        <w:rPr>
          <w:rFonts w:hint="eastAsia" w:ascii="仿宋_GB2312" w:hAnsi="仿宋_GB2312" w:eastAsia="仿宋_GB2312" w:cs="仿宋_GB2312"/>
          <w:color w:val="auto"/>
          <w:sz w:val="32"/>
          <w:szCs w:val="32"/>
          <w:highlight w:val="none"/>
        </w:rPr>
        <w:t>吨，同比</w:t>
      </w:r>
      <w:r>
        <w:rPr>
          <w:rFonts w:hint="eastAsia" w:ascii="仿宋_GB2312" w:hAnsi="仿宋_GB2312" w:eastAsia="仿宋_GB2312" w:cs="仿宋_GB2312"/>
          <w:color w:val="auto"/>
          <w:sz w:val="32"/>
          <w:szCs w:val="32"/>
          <w:highlight w:val="none"/>
          <w:lang w:val="en-US" w:eastAsia="zh-CN"/>
        </w:rPr>
        <w:t>下降49.4</w:t>
      </w:r>
      <w:r>
        <w:rPr>
          <w:rFonts w:hint="eastAsia" w:ascii="仿宋_GB2312" w:hAnsi="仿宋_GB2312" w:eastAsia="仿宋_GB2312" w:cs="仿宋_GB2312"/>
          <w:color w:val="auto"/>
          <w:sz w:val="32"/>
          <w:szCs w:val="32"/>
          <w:highlight w:val="none"/>
        </w:rPr>
        <w:t>%，其中绵羊毛产量</w:t>
      </w:r>
      <w:r>
        <w:rPr>
          <w:rFonts w:hint="eastAsia" w:ascii="仿宋_GB2312" w:hAnsi="仿宋_GB2312" w:eastAsia="仿宋_GB2312" w:cs="仿宋_GB2312"/>
          <w:color w:val="auto"/>
          <w:sz w:val="32"/>
          <w:szCs w:val="32"/>
          <w:highlight w:val="none"/>
          <w:lang w:val="en-US" w:eastAsia="zh-CN"/>
        </w:rPr>
        <w:t>1016.7</w:t>
      </w:r>
      <w:r>
        <w:rPr>
          <w:rFonts w:hint="eastAsia" w:ascii="仿宋_GB2312" w:hAnsi="仿宋_GB2312" w:eastAsia="仿宋_GB2312" w:cs="仿宋_GB2312"/>
          <w:color w:val="auto"/>
          <w:sz w:val="32"/>
          <w:szCs w:val="32"/>
          <w:highlight w:val="none"/>
        </w:rPr>
        <w:t>吨，同比</w:t>
      </w:r>
      <w:r>
        <w:rPr>
          <w:rFonts w:hint="eastAsia" w:ascii="仿宋_GB2312" w:hAnsi="仿宋_GB2312" w:eastAsia="仿宋_GB2312" w:cs="仿宋_GB2312"/>
          <w:color w:val="auto"/>
          <w:sz w:val="32"/>
          <w:szCs w:val="32"/>
          <w:highlight w:val="none"/>
          <w:lang w:val="en-US" w:eastAsia="zh-CN"/>
        </w:rPr>
        <w:t>下降49.7</w:t>
      </w:r>
      <w:r>
        <w:rPr>
          <w:rFonts w:hint="eastAsia" w:ascii="仿宋_GB2312" w:hAnsi="仿宋_GB2312" w:eastAsia="仿宋_GB2312" w:cs="仿宋_GB2312"/>
          <w:color w:val="auto"/>
          <w:sz w:val="32"/>
          <w:szCs w:val="32"/>
          <w:highlight w:val="none"/>
        </w:rPr>
        <w:t>%；牛奶产量</w:t>
      </w:r>
      <w:r>
        <w:rPr>
          <w:rFonts w:hint="eastAsia" w:ascii="仿宋_GB2312" w:hAnsi="仿宋_GB2312" w:eastAsia="仿宋_GB2312" w:cs="仿宋_GB2312"/>
          <w:color w:val="auto"/>
          <w:sz w:val="32"/>
          <w:szCs w:val="32"/>
          <w:highlight w:val="none"/>
          <w:lang w:val="en-US" w:eastAsia="zh-CN"/>
        </w:rPr>
        <w:t>16006.34</w:t>
      </w:r>
      <w:r>
        <w:rPr>
          <w:rFonts w:hint="eastAsia" w:ascii="仿宋_GB2312" w:hAnsi="仿宋_GB2312" w:eastAsia="仿宋_GB2312" w:cs="仿宋_GB2312"/>
          <w:color w:val="auto"/>
          <w:sz w:val="32"/>
          <w:szCs w:val="32"/>
          <w:highlight w:val="none"/>
        </w:rPr>
        <w:t>吨。</w:t>
      </w:r>
    </w:p>
    <w:p w14:paraId="7D243D01">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tbl>
      <w:tblPr>
        <w:tblStyle w:val="8"/>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2"/>
        <w:gridCol w:w="1591"/>
        <w:gridCol w:w="1998"/>
        <w:gridCol w:w="1389"/>
      </w:tblGrid>
      <w:tr w14:paraId="6A49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8200" w:type="dxa"/>
            <w:gridSpan w:val="4"/>
            <w:tcBorders>
              <w:top w:val="nil"/>
              <w:left w:val="nil"/>
              <w:bottom w:val="nil"/>
              <w:right w:val="nil"/>
            </w:tcBorders>
            <w:shd w:val="clear" w:color="auto" w:fill="auto"/>
            <w:noWrap/>
            <w:vAlign w:val="center"/>
          </w:tcPr>
          <w:p w14:paraId="648A68C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表3  2024年主要畜产品产量和牲畜存栏</w:t>
            </w:r>
          </w:p>
        </w:tc>
      </w:tr>
      <w:tr w14:paraId="037A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3222" w:type="dxa"/>
            <w:tcBorders>
              <w:top w:val="single" w:color="000000" w:sz="4" w:space="0"/>
              <w:left w:val="nil"/>
              <w:bottom w:val="nil"/>
              <w:right w:val="single" w:color="000000" w:sz="4" w:space="0"/>
            </w:tcBorders>
            <w:shd w:val="clear" w:color="auto" w:fill="auto"/>
            <w:noWrap/>
            <w:vAlign w:val="center"/>
          </w:tcPr>
          <w:p w14:paraId="245B9F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w:t>
            </w:r>
          </w:p>
        </w:tc>
        <w:tc>
          <w:tcPr>
            <w:tcW w:w="1591" w:type="dxa"/>
            <w:tcBorders>
              <w:top w:val="single" w:color="000000" w:sz="4" w:space="0"/>
              <w:left w:val="nil"/>
              <w:bottom w:val="nil"/>
              <w:right w:val="single" w:color="000000" w:sz="4" w:space="0"/>
            </w:tcBorders>
            <w:shd w:val="clear" w:color="auto" w:fill="auto"/>
            <w:noWrap/>
            <w:vAlign w:val="center"/>
          </w:tcPr>
          <w:p w14:paraId="4F0C101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998" w:type="dxa"/>
            <w:tcBorders>
              <w:top w:val="single" w:color="000000" w:sz="4" w:space="0"/>
              <w:left w:val="nil"/>
              <w:bottom w:val="nil"/>
              <w:right w:val="single" w:color="000000" w:sz="4" w:space="0"/>
            </w:tcBorders>
            <w:shd w:val="clear" w:color="auto" w:fill="auto"/>
            <w:noWrap/>
            <w:vAlign w:val="center"/>
          </w:tcPr>
          <w:p w14:paraId="7AD2F7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1389" w:type="dxa"/>
            <w:tcBorders>
              <w:top w:val="single" w:color="000000" w:sz="4" w:space="0"/>
              <w:left w:val="nil"/>
              <w:bottom w:val="nil"/>
              <w:right w:val="nil"/>
            </w:tcBorders>
            <w:shd w:val="clear" w:color="auto" w:fill="auto"/>
            <w:noWrap/>
            <w:vAlign w:val="center"/>
          </w:tcPr>
          <w:p w14:paraId="05D871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增长%</w:t>
            </w:r>
          </w:p>
        </w:tc>
      </w:tr>
      <w:tr w14:paraId="08860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3222" w:type="dxa"/>
            <w:tcBorders>
              <w:top w:val="single" w:color="000000" w:sz="4" w:space="0"/>
              <w:left w:val="nil"/>
              <w:bottom w:val="nil"/>
              <w:right w:val="single" w:color="000000" w:sz="4" w:space="0"/>
            </w:tcBorders>
            <w:shd w:val="clear" w:color="auto" w:fill="auto"/>
            <w:noWrap/>
            <w:vAlign w:val="center"/>
          </w:tcPr>
          <w:p w14:paraId="17A43815">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肉类总产量</w:t>
            </w:r>
          </w:p>
        </w:tc>
        <w:tc>
          <w:tcPr>
            <w:tcW w:w="1591" w:type="dxa"/>
            <w:tcBorders>
              <w:top w:val="single" w:color="000000" w:sz="4" w:space="0"/>
              <w:left w:val="nil"/>
              <w:bottom w:val="nil"/>
              <w:right w:val="single" w:color="000000" w:sz="4" w:space="0"/>
            </w:tcBorders>
            <w:shd w:val="clear" w:color="auto" w:fill="auto"/>
            <w:noWrap/>
            <w:vAlign w:val="center"/>
          </w:tcPr>
          <w:p w14:paraId="540A8B2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1998" w:type="dxa"/>
            <w:tcBorders>
              <w:top w:val="single" w:color="000000" w:sz="4" w:space="0"/>
              <w:left w:val="nil"/>
              <w:bottom w:val="nil"/>
              <w:right w:val="single" w:color="000000" w:sz="4" w:space="0"/>
            </w:tcBorders>
            <w:shd w:val="clear" w:color="auto" w:fill="auto"/>
            <w:noWrap/>
            <w:vAlign w:val="center"/>
          </w:tcPr>
          <w:p w14:paraId="062D1A04">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15963.44</w:t>
            </w:r>
          </w:p>
        </w:tc>
        <w:tc>
          <w:tcPr>
            <w:tcW w:w="1389" w:type="dxa"/>
            <w:tcBorders>
              <w:top w:val="single" w:color="000000" w:sz="4" w:space="0"/>
              <w:left w:val="nil"/>
              <w:bottom w:val="nil"/>
              <w:right w:val="nil"/>
            </w:tcBorders>
            <w:shd w:val="clear" w:color="auto" w:fill="auto"/>
            <w:noWrap/>
            <w:vAlign w:val="center"/>
          </w:tcPr>
          <w:p w14:paraId="7D3DB71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9.93</w:t>
            </w:r>
          </w:p>
        </w:tc>
      </w:tr>
      <w:tr w14:paraId="0EAE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3222" w:type="dxa"/>
            <w:tcBorders>
              <w:top w:val="nil"/>
              <w:left w:val="nil"/>
              <w:bottom w:val="nil"/>
              <w:right w:val="single" w:color="000000" w:sz="4" w:space="0"/>
            </w:tcBorders>
            <w:shd w:val="clear" w:color="auto" w:fill="auto"/>
            <w:noWrap/>
            <w:vAlign w:val="center"/>
          </w:tcPr>
          <w:p w14:paraId="50A54199">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绒毛社会产量</w:t>
            </w:r>
          </w:p>
        </w:tc>
        <w:tc>
          <w:tcPr>
            <w:tcW w:w="1591" w:type="dxa"/>
            <w:tcBorders>
              <w:top w:val="nil"/>
              <w:left w:val="nil"/>
              <w:bottom w:val="nil"/>
              <w:right w:val="single" w:color="000000" w:sz="4" w:space="0"/>
            </w:tcBorders>
            <w:shd w:val="clear" w:color="auto" w:fill="auto"/>
            <w:noWrap/>
            <w:vAlign w:val="center"/>
          </w:tcPr>
          <w:p w14:paraId="2D5F5D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1998" w:type="dxa"/>
            <w:tcBorders>
              <w:top w:val="nil"/>
              <w:left w:val="nil"/>
              <w:bottom w:val="nil"/>
              <w:right w:val="single" w:color="000000" w:sz="4" w:space="0"/>
            </w:tcBorders>
            <w:shd w:val="clear" w:color="auto" w:fill="auto"/>
            <w:noWrap/>
            <w:vAlign w:val="center"/>
          </w:tcPr>
          <w:p w14:paraId="5ADCF96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1035.3</w:t>
            </w:r>
          </w:p>
        </w:tc>
        <w:tc>
          <w:tcPr>
            <w:tcW w:w="1389" w:type="dxa"/>
            <w:tcBorders>
              <w:top w:val="nil"/>
              <w:left w:val="nil"/>
              <w:bottom w:val="nil"/>
              <w:right w:val="nil"/>
            </w:tcBorders>
            <w:shd w:val="clear" w:color="auto" w:fill="auto"/>
            <w:noWrap/>
            <w:vAlign w:val="center"/>
          </w:tcPr>
          <w:p w14:paraId="6851694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-49.4</w:t>
            </w:r>
          </w:p>
        </w:tc>
      </w:tr>
      <w:tr w14:paraId="060F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3222" w:type="dxa"/>
            <w:tcBorders>
              <w:top w:val="nil"/>
              <w:left w:val="nil"/>
              <w:bottom w:val="nil"/>
              <w:right w:val="single" w:color="000000" w:sz="4" w:space="0"/>
            </w:tcBorders>
            <w:shd w:val="clear" w:color="auto" w:fill="auto"/>
            <w:noWrap/>
            <w:vAlign w:val="center"/>
          </w:tcPr>
          <w:p w14:paraId="7B3BC30F">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牛奶产量</w:t>
            </w:r>
          </w:p>
        </w:tc>
        <w:tc>
          <w:tcPr>
            <w:tcW w:w="1591" w:type="dxa"/>
            <w:tcBorders>
              <w:top w:val="nil"/>
              <w:left w:val="nil"/>
              <w:bottom w:val="nil"/>
              <w:right w:val="single" w:color="000000" w:sz="4" w:space="0"/>
            </w:tcBorders>
            <w:shd w:val="clear" w:color="auto" w:fill="auto"/>
            <w:noWrap/>
            <w:vAlign w:val="center"/>
          </w:tcPr>
          <w:p w14:paraId="20EDDB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1998" w:type="dxa"/>
            <w:tcBorders>
              <w:top w:val="nil"/>
              <w:left w:val="nil"/>
              <w:bottom w:val="nil"/>
              <w:right w:val="single" w:color="000000" w:sz="4" w:space="0"/>
            </w:tcBorders>
            <w:shd w:val="clear" w:color="auto" w:fill="auto"/>
            <w:noWrap/>
            <w:vAlign w:val="center"/>
          </w:tcPr>
          <w:p w14:paraId="0A242BA8">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16006.34</w:t>
            </w:r>
          </w:p>
        </w:tc>
        <w:tc>
          <w:tcPr>
            <w:tcW w:w="1389" w:type="dxa"/>
            <w:tcBorders>
              <w:top w:val="nil"/>
              <w:left w:val="nil"/>
              <w:bottom w:val="nil"/>
              <w:right w:val="nil"/>
            </w:tcBorders>
            <w:shd w:val="clear" w:color="auto" w:fill="auto"/>
            <w:noWrap/>
            <w:vAlign w:val="center"/>
          </w:tcPr>
          <w:p w14:paraId="10F5AE0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24.04</w:t>
            </w:r>
          </w:p>
        </w:tc>
      </w:tr>
      <w:tr w14:paraId="45C8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3222" w:type="dxa"/>
            <w:tcBorders>
              <w:top w:val="nil"/>
              <w:left w:val="nil"/>
              <w:bottom w:val="nil"/>
              <w:right w:val="single" w:color="000000" w:sz="4" w:space="0"/>
            </w:tcBorders>
            <w:shd w:val="clear" w:color="auto" w:fill="auto"/>
            <w:noWrap/>
            <w:vAlign w:val="center"/>
          </w:tcPr>
          <w:p w14:paraId="723C1B8A">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出栏各类牲畜</w:t>
            </w:r>
          </w:p>
        </w:tc>
        <w:tc>
          <w:tcPr>
            <w:tcW w:w="1591" w:type="dxa"/>
            <w:tcBorders>
              <w:top w:val="nil"/>
              <w:left w:val="nil"/>
              <w:bottom w:val="nil"/>
              <w:right w:val="single" w:color="000000" w:sz="4" w:space="0"/>
            </w:tcBorders>
            <w:shd w:val="clear" w:color="auto" w:fill="auto"/>
            <w:noWrap/>
            <w:vAlign w:val="center"/>
          </w:tcPr>
          <w:p w14:paraId="169BDD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万头只</w:t>
            </w:r>
          </w:p>
        </w:tc>
        <w:tc>
          <w:tcPr>
            <w:tcW w:w="1998" w:type="dxa"/>
            <w:tcBorders>
              <w:top w:val="nil"/>
              <w:left w:val="nil"/>
              <w:bottom w:val="nil"/>
              <w:right w:val="single" w:color="000000" w:sz="4" w:space="0"/>
            </w:tcBorders>
            <w:shd w:val="clear" w:color="auto" w:fill="auto"/>
            <w:noWrap/>
            <w:vAlign w:val="center"/>
          </w:tcPr>
          <w:p w14:paraId="3214684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78.57</w:t>
            </w:r>
          </w:p>
        </w:tc>
        <w:tc>
          <w:tcPr>
            <w:tcW w:w="1389" w:type="dxa"/>
            <w:tcBorders>
              <w:top w:val="nil"/>
              <w:left w:val="nil"/>
              <w:bottom w:val="nil"/>
              <w:right w:val="nil"/>
            </w:tcBorders>
            <w:shd w:val="clear" w:color="auto" w:fill="auto"/>
            <w:noWrap/>
            <w:vAlign w:val="center"/>
          </w:tcPr>
          <w:p w14:paraId="3F2FF4A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13.13</w:t>
            </w:r>
          </w:p>
        </w:tc>
      </w:tr>
      <w:tr w14:paraId="305C8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3222" w:type="dxa"/>
            <w:tcBorders>
              <w:top w:val="nil"/>
              <w:left w:val="nil"/>
              <w:bottom w:val="nil"/>
              <w:right w:val="single" w:color="000000" w:sz="4" w:space="0"/>
            </w:tcBorders>
            <w:shd w:val="clear" w:color="auto" w:fill="auto"/>
            <w:noWrap/>
            <w:vAlign w:val="center"/>
          </w:tcPr>
          <w:p w14:paraId="44E8A34A">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3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年末羊存栏</w:t>
            </w:r>
          </w:p>
        </w:tc>
        <w:tc>
          <w:tcPr>
            <w:tcW w:w="1591" w:type="dxa"/>
            <w:tcBorders>
              <w:top w:val="nil"/>
              <w:left w:val="nil"/>
              <w:bottom w:val="nil"/>
              <w:right w:val="single" w:color="000000" w:sz="4" w:space="0"/>
            </w:tcBorders>
            <w:shd w:val="clear" w:color="auto" w:fill="auto"/>
            <w:noWrap/>
            <w:vAlign w:val="center"/>
          </w:tcPr>
          <w:p w14:paraId="3115BB0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万只</w:t>
            </w:r>
          </w:p>
        </w:tc>
        <w:tc>
          <w:tcPr>
            <w:tcW w:w="1998" w:type="dxa"/>
            <w:tcBorders>
              <w:top w:val="nil"/>
              <w:left w:val="nil"/>
              <w:bottom w:val="nil"/>
              <w:right w:val="single" w:color="000000" w:sz="4" w:space="0"/>
            </w:tcBorders>
            <w:shd w:val="clear" w:color="auto" w:fill="auto"/>
            <w:noWrap/>
            <w:vAlign w:val="center"/>
          </w:tcPr>
          <w:p w14:paraId="3ECC9AF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68.96</w:t>
            </w:r>
          </w:p>
        </w:tc>
        <w:tc>
          <w:tcPr>
            <w:tcW w:w="1389" w:type="dxa"/>
            <w:tcBorders>
              <w:top w:val="nil"/>
              <w:left w:val="nil"/>
              <w:bottom w:val="nil"/>
              <w:right w:val="nil"/>
            </w:tcBorders>
            <w:shd w:val="clear" w:color="auto" w:fill="auto"/>
            <w:noWrap/>
            <w:vAlign w:val="center"/>
          </w:tcPr>
          <w:p w14:paraId="7C8567B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-8.24</w:t>
            </w:r>
          </w:p>
        </w:tc>
      </w:tr>
      <w:tr w14:paraId="0178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3222" w:type="dxa"/>
            <w:tcBorders>
              <w:top w:val="nil"/>
              <w:left w:val="nil"/>
              <w:bottom w:val="single" w:color="000000" w:sz="4" w:space="0"/>
              <w:right w:val="single" w:color="000000" w:sz="4" w:space="0"/>
            </w:tcBorders>
            <w:shd w:val="clear" w:color="auto" w:fill="auto"/>
            <w:noWrap/>
            <w:vAlign w:val="center"/>
          </w:tcPr>
          <w:p w14:paraId="7D1AB41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大牲畜年末存栏</w:t>
            </w:r>
          </w:p>
        </w:tc>
        <w:tc>
          <w:tcPr>
            <w:tcW w:w="1591" w:type="dxa"/>
            <w:tcBorders>
              <w:top w:val="nil"/>
              <w:left w:val="nil"/>
              <w:bottom w:val="single" w:color="000000" w:sz="4" w:space="0"/>
              <w:right w:val="single" w:color="000000" w:sz="4" w:space="0"/>
            </w:tcBorders>
            <w:shd w:val="clear" w:color="auto" w:fill="auto"/>
            <w:noWrap/>
            <w:vAlign w:val="center"/>
          </w:tcPr>
          <w:p w14:paraId="425E36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万头只</w:t>
            </w:r>
          </w:p>
        </w:tc>
        <w:tc>
          <w:tcPr>
            <w:tcW w:w="1998" w:type="dxa"/>
            <w:tcBorders>
              <w:top w:val="nil"/>
              <w:left w:val="nil"/>
              <w:bottom w:val="single" w:color="000000" w:sz="4" w:space="0"/>
              <w:right w:val="single" w:color="000000" w:sz="4" w:space="0"/>
            </w:tcBorders>
            <w:shd w:val="clear" w:color="auto" w:fill="auto"/>
            <w:noWrap/>
            <w:vAlign w:val="center"/>
          </w:tcPr>
          <w:p w14:paraId="17A8331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8.42</w:t>
            </w:r>
          </w:p>
        </w:tc>
        <w:tc>
          <w:tcPr>
            <w:tcW w:w="1389" w:type="dxa"/>
            <w:tcBorders>
              <w:top w:val="nil"/>
              <w:left w:val="nil"/>
              <w:bottom w:val="single" w:color="000000" w:sz="4" w:space="0"/>
              <w:right w:val="nil"/>
            </w:tcBorders>
            <w:shd w:val="clear" w:color="auto" w:fill="auto"/>
            <w:noWrap/>
            <w:vAlign w:val="center"/>
          </w:tcPr>
          <w:p w14:paraId="2B38632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-7.5</w:t>
            </w:r>
          </w:p>
        </w:tc>
      </w:tr>
    </w:tbl>
    <w:p w14:paraId="598C4F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2568F9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color w:val="auto"/>
        </w:rPr>
      </w:pPr>
      <w:r>
        <w:rPr>
          <w:rFonts w:hint="eastAsia" w:ascii="仿宋_GB2312" w:hAnsi="仿宋_GB2312" w:eastAsia="仿宋_GB2312" w:cs="仿宋_GB2312"/>
          <w:b/>
          <w:bCs/>
          <w:color w:val="auto"/>
          <w:sz w:val="32"/>
          <w:szCs w:val="32"/>
          <w:highlight w:val="none"/>
        </w:rPr>
        <w:t>农机：</w:t>
      </w:r>
      <w:r>
        <w:rPr>
          <w:rFonts w:hint="eastAsia" w:ascii="仿宋_GB2312" w:hAnsi="仿宋_GB2312" w:eastAsia="仿宋_GB2312" w:cs="仿宋_GB2312"/>
          <w:color w:val="auto"/>
          <w:sz w:val="32"/>
          <w:szCs w:val="32"/>
        </w:rPr>
        <w:t>2024年全县农机总动力达到9.29万千瓦，其中大中型拖拉机较上年新增144台，新增动力0.49万千瓦。完成机耕22.29万亩，机耕水平97.51%；机播20.66万亩，机播水平81.79%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机收19.75万亩，机收水平78.19%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耕播收综合机械化水平达87%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农机专业服务组织社会化服务</w:t>
      </w:r>
      <w:r>
        <w:rPr>
          <w:rFonts w:hint="eastAsia" w:ascii="仿宋_GB2312" w:hAnsi="仿宋_GB2312" w:eastAsia="仿宋_GB2312" w:cs="仿宋_GB2312"/>
          <w:color w:val="auto"/>
          <w:spacing w:val="-11"/>
          <w:sz w:val="32"/>
          <w:szCs w:val="32"/>
        </w:rPr>
        <w:t>能力进一步增强</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rPr>
        <w:t>平安农机</w:t>
      </w:r>
      <w:r>
        <w:rPr>
          <w:rFonts w:hint="eastAsia" w:ascii="仿宋_GB2312" w:hAnsi="仿宋_GB2312" w:eastAsia="仿宋_GB2312" w:cs="仿宋_GB2312"/>
          <w:color w:val="auto"/>
          <w:spacing w:val="-11"/>
          <w:sz w:val="32"/>
          <w:szCs w:val="32"/>
          <w:lang w:val="en-US" w:eastAsia="zh-CN"/>
        </w:rPr>
        <w:t>有效</w:t>
      </w:r>
      <w:r>
        <w:rPr>
          <w:rFonts w:hint="eastAsia" w:ascii="仿宋_GB2312" w:hAnsi="仿宋_GB2312" w:eastAsia="仿宋_GB2312" w:cs="仿宋_GB2312"/>
          <w:color w:val="auto"/>
          <w:spacing w:val="-11"/>
          <w:sz w:val="32"/>
          <w:szCs w:val="32"/>
        </w:rPr>
        <w:t>巩固，全年无重大农机事故发生。</w:t>
      </w:r>
      <w:r>
        <w:rPr>
          <w:rFonts w:hint="eastAsia" w:ascii="仿宋_GB2312" w:hAnsi="仿宋_GB2312" w:eastAsia="仿宋_GB2312" w:cs="仿宋_GB2312"/>
          <w:color w:val="auto"/>
          <w:sz w:val="32"/>
          <w:szCs w:val="32"/>
        </w:rPr>
        <w:t xml:space="preserve"> </w:t>
      </w:r>
    </w:p>
    <w:p w14:paraId="219F5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三、工业和建筑业</w:t>
      </w:r>
    </w:p>
    <w:p w14:paraId="42AAA9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年全县完成工业增加值</w:t>
      </w:r>
      <w:r>
        <w:rPr>
          <w:rFonts w:hint="eastAsia" w:ascii="仿宋_GB2312" w:hAnsi="仿宋_GB2312" w:eastAsia="仿宋_GB2312" w:cs="仿宋_GB2312"/>
          <w:color w:val="auto"/>
          <w:sz w:val="32"/>
          <w:szCs w:val="32"/>
          <w:lang w:val="en-US" w:eastAsia="zh-CN"/>
        </w:rPr>
        <w:t>17.42</w:t>
      </w:r>
      <w:r>
        <w:rPr>
          <w:rFonts w:hint="eastAsia" w:ascii="仿宋_GB2312" w:hAnsi="仿宋_GB2312" w:eastAsia="仿宋_GB2312" w:cs="仿宋_GB2312"/>
          <w:color w:val="auto"/>
          <w:sz w:val="32"/>
          <w:szCs w:val="32"/>
        </w:rPr>
        <w:t>亿元，增长</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%，其中2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户规模以上工业企业增加值同比增长</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p>
    <w:p w14:paraId="4E175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全年规模以上工业企业主营业务收入2</w:t>
      </w:r>
      <w:r>
        <w:rPr>
          <w:rFonts w:hint="eastAsia" w:ascii="仿宋_GB2312" w:hAnsi="仿宋_GB2312" w:eastAsia="仿宋_GB2312" w:cs="仿宋_GB2312"/>
          <w:color w:val="auto"/>
          <w:sz w:val="32"/>
          <w:szCs w:val="32"/>
          <w:highlight w:val="none"/>
          <w:lang w:val="en-US" w:eastAsia="zh-CN"/>
        </w:rPr>
        <w:t>8.79</w:t>
      </w:r>
      <w:r>
        <w:rPr>
          <w:rFonts w:hint="eastAsia" w:ascii="仿宋_GB2312" w:hAnsi="仿宋_GB2312" w:eastAsia="仿宋_GB2312" w:cs="仿宋_GB2312"/>
          <w:color w:val="auto"/>
          <w:sz w:val="32"/>
          <w:szCs w:val="32"/>
          <w:highlight w:val="none"/>
        </w:rPr>
        <w:t>亿元，同比增长</w:t>
      </w:r>
      <w:r>
        <w:rPr>
          <w:rFonts w:hint="eastAsia" w:ascii="仿宋_GB2312" w:hAnsi="仿宋_GB2312" w:eastAsia="仿宋_GB2312" w:cs="仿宋_GB2312"/>
          <w:color w:val="auto"/>
          <w:sz w:val="32"/>
          <w:szCs w:val="32"/>
          <w:highlight w:val="none"/>
          <w:lang w:val="en-US" w:eastAsia="zh-CN"/>
        </w:rPr>
        <w:t>3.56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产销率</w:t>
      </w:r>
      <w:r>
        <w:rPr>
          <w:rFonts w:hint="eastAsia" w:ascii="仿宋_GB2312" w:hAnsi="仿宋_GB2312" w:eastAsia="仿宋_GB2312" w:cs="仿宋_GB2312"/>
          <w:color w:val="auto"/>
          <w:sz w:val="32"/>
          <w:szCs w:val="32"/>
          <w:highlight w:val="none"/>
          <w:lang w:val="en-US" w:eastAsia="zh-CN"/>
        </w:rPr>
        <w:t>89.3</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sz w:val="32"/>
          <w:szCs w:val="32"/>
          <w:highlight w:val="none"/>
          <w:lang w:val="en-US" w:eastAsia="zh-CN"/>
        </w:rPr>
        <w:t>下降8.7</w:t>
      </w:r>
      <w:r>
        <w:rPr>
          <w:rFonts w:hint="eastAsia" w:ascii="仿宋_GB2312" w:hAnsi="仿宋_GB2312" w:eastAsia="仿宋_GB2312" w:cs="仿宋_GB2312"/>
          <w:color w:val="auto"/>
          <w:sz w:val="32"/>
          <w:szCs w:val="32"/>
          <w:highlight w:val="none"/>
        </w:rPr>
        <w:t>个百分点。规模以上工业企业实现利润总额</w:t>
      </w:r>
      <w:r>
        <w:rPr>
          <w:rFonts w:hint="eastAsia" w:ascii="仿宋_GB2312" w:hAnsi="仿宋_GB2312" w:eastAsia="仿宋_GB2312" w:cs="仿宋_GB2312"/>
          <w:color w:val="auto"/>
          <w:sz w:val="32"/>
          <w:szCs w:val="32"/>
          <w:highlight w:val="none"/>
          <w:lang w:val="en-US" w:eastAsia="zh-CN"/>
        </w:rPr>
        <w:t>4.03</w:t>
      </w:r>
      <w:r>
        <w:rPr>
          <w:rFonts w:hint="eastAsia" w:ascii="仿宋_GB2312" w:hAnsi="仿宋_GB2312" w:eastAsia="仿宋_GB2312" w:cs="仿宋_GB2312"/>
          <w:color w:val="auto"/>
          <w:sz w:val="32"/>
          <w:szCs w:val="32"/>
          <w:highlight w:val="none"/>
        </w:rPr>
        <w:t>亿元，同比</w:t>
      </w:r>
      <w:r>
        <w:rPr>
          <w:rFonts w:hint="eastAsia" w:ascii="仿宋_GB2312" w:hAnsi="仿宋_GB2312" w:eastAsia="仿宋_GB2312" w:cs="仿宋_GB2312"/>
          <w:color w:val="auto"/>
          <w:sz w:val="32"/>
          <w:szCs w:val="32"/>
          <w:highlight w:val="none"/>
          <w:lang w:val="en-US" w:eastAsia="zh-CN"/>
        </w:rPr>
        <w:t>增长70.46</w:t>
      </w:r>
      <w:r>
        <w:rPr>
          <w:rFonts w:hint="eastAsia" w:ascii="仿宋_GB2312" w:hAnsi="仿宋_GB2312" w:eastAsia="仿宋_GB2312" w:cs="仿宋_GB2312"/>
          <w:color w:val="auto"/>
          <w:sz w:val="32"/>
          <w:szCs w:val="32"/>
          <w:highlight w:val="none"/>
        </w:rPr>
        <w:t>%。</w:t>
      </w:r>
    </w:p>
    <w:p w14:paraId="04DE460D">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p w14:paraId="0A2DB42D">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tbl>
      <w:tblPr>
        <w:tblStyle w:val="8"/>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0"/>
        <w:gridCol w:w="2676"/>
        <w:gridCol w:w="2004"/>
      </w:tblGrid>
      <w:tr w14:paraId="04EE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8240" w:type="dxa"/>
            <w:gridSpan w:val="3"/>
            <w:tcBorders>
              <w:top w:val="nil"/>
              <w:left w:val="nil"/>
              <w:bottom w:val="nil"/>
              <w:right w:val="nil"/>
            </w:tcBorders>
            <w:shd w:val="clear" w:color="auto" w:fill="auto"/>
            <w:noWrap/>
            <w:vAlign w:val="center"/>
          </w:tcPr>
          <w:p w14:paraId="6EE856A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表4  2024年规模以上工业主要产品产量</w:t>
            </w:r>
          </w:p>
        </w:tc>
      </w:tr>
      <w:tr w14:paraId="5BF1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560" w:type="dxa"/>
            <w:tcBorders>
              <w:top w:val="single" w:color="000000" w:sz="4" w:space="0"/>
              <w:left w:val="nil"/>
              <w:bottom w:val="nil"/>
              <w:right w:val="single" w:color="000000" w:sz="4" w:space="0"/>
            </w:tcBorders>
            <w:shd w:val="clear" w:color="auto" w:fill="auto"/>
            <w:noWrap/>
            <w:vAlign w:val="center"/>
          </w:tcPr>
          <w:p w14:paraId="41AD5AE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w:t>
            </w:r>
          </w:p>
        </w:tc>
        <w:tc>
          <w:tcPr>
            <w:tcW w:w="2676" w:type="dxa"/>
            <w:tcBorders>
              <w:top w:val="single" w:color="000000" w:sz="4" w:space="0"/>
              <w:left w:val="nil"/>
              <w:bottom w:val="nil"/>
              <w:right w:val="single" w:color="000000" w:sz="4" w:space="0"/>
            </w:tcBorders>
            <w:shd w:val="clear" w:color="auto" w:fill="auto"/>
            <w:noWrap/>
            <w:vAlign w:val="center"/>
          </w:tcPr>
          <w:p w14:paraId="7E21A8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0" w:type="auto"/>
            <w:tcBorders>
              <w:top w:val="single" w:color="000000" w:sz="4" w:space="0"/>
              <w:left w:val="nil"/>
              <w:bottom w:val="nil"/>
              <w:right w:val="nil"/>
            </w:tcBorders>
            <w:shd w:val="clear" w:color="auto" w:fill="auto"/>
            <w:noWrap/>
            <w:vAlign w:val="center"/>
          </w:tcPr>
          <w:p w14:paraId="68E67E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产量</w:t>
            </w:r>
          </w:p>
        </w:tc>
      </w:tr>
      <w:tr w14:paraId="026B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560" w:type="dxa"/>
            <w:tcBorders>
              <w:top w:val="single" w:color="000000" w:sz="4" w:space="0"/>
              <w:left w:val="nil"/>
              <w:bottom w:val="nil"/>
              <w:right w:val="single" w:color="000000" w:sz="4" w:space="0"/>
            </w:tcBorders>
            <w:shd w:val="clear" w:color="auto" w:fill="auto"/>
            <w:noWrap/>
            <w:vAlign w:val="center"/>
          </w:tcPr>
          <w:p w14:paraId="493DEABA">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铜金属含量</w:t>
            </w:r>
          </w:p>
        </w:tc>
        <w:tc>
          <w:tcPr>
            <w:tcW w:w="2676" w:type="dxa"/>
            <w:tcBorders>
              <w:top w:val="single" w:color="000000" w:sz="4" w:space="0"/>
              <w:left w:val="nil"/>
              <w:bottom w:val="nil"/>
              <w:right w:val="single" w:color="000000" w:sz="4" w:space="0"/>
            </w:tcBorders>
            <w:shd w:val="clear" w:color="auto" w:fill="auto"/>
            <w:noWrap/>
            <w:vAlign w:val="center"/>
          </w:tcPr>
          <w:p w14:paraId="7645768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0" w:type="auto"/>
            <w:tcBorders>
              <w:top w:val="single" w:color="000000" w:sz="4" w:space="0"/>
              <w:left w:val="nil"/>
              <w:bottom w:val="nil"/>
              <w:right w:val="nil"/>
            </w:tcBorders>
            <w:shd w:val="clear" w:color="auto" w:fill="auto"/>
            <w:noWrap/>
            <w:vAlign w:val="center"/>
          </w:tcPr>
          <w:p w14:paraId="71795A2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5009</w:t>
            </w:r>
          </w:p>
        </w:tc>
      </w:tr>
      <w:tr w14:paraId="6F218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3560" w:type="dxa"/>
            <w:tcBorders>
              <w:top w:val="nil"/>
              <w:left w:val="nil"/>
              <w:bottom w:val="nil"/>
              <w:right w:val="single" w:color="000000" w:sz="4" w:space="0"/>
            </w:tcBorders>
            <w:shd w:val="clear" w:color="auto" w:fill="auto"/>
            <w:noWrap/>
            <w:vAlign w:val="center"/>
          </w:tcPr>
          <w:p w14:paraId="7095B39E">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发电量</w:t>
            </w:r>
          </w:p>
        </w:tc>
        <w:tc>
          <w:tcPr>
            <w:tcW w:w="2676" w:type="dxa"/>
            <w:tcBorders>
              <w:top w:val="nil"/>
              <w:left w:val="nil"/>
              <w:bottom w:val="nil"/>
              <w:right w:val="single" w:color="000000" w:sz="4" w:space="0"/>
            </w:tcBorders>
            <w:shd w:val="clear" w:color="auto" w:fill="auto"/>
            <w:noWrap/>
            <w:vAlign w:val="center"/>
          </w:tcPr>
          <w:p w14:paraId="51FF4A7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万千瓦小时</w:t>
            </w:r>
          </w:p>
        </w:tc>
        <w:tc>
          <w:tcPr>
            <w:tcW w:w="0" w:type="auto"/>
            <w:tcBorders>
              <w:top w:val="nil"/>
              <w:left w:val="nil"/>
              <w:bottom w:val="nil"/>
              <w:right w:val="nil"/>
            </w:tcBorders>
            <w:shd w:val="clear" w:color="auto" w:fill="auto"/>
            <w:noWrap/>
            <w:vAlign w:val="center"/>
          </w:tcPr>
          <w:p w14:paraId="1008F427">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333303.48</w:t>
            </w:r>
          </w:p>
        </w:tc>
      </w:tr>
      <w:tr w14:paraId="498B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560" w:type="dxa"/>
            <w:tcBorders>
              <w:top w:val="nil"/>
              <w:left w:val="nil"/>
              <w:bottom w:val="nil"/>
              <w:right w:val="single" w:color="000000" w:sz="4" w:space="0"/>
            </w:tcBorders>
            <w:shd w:val="clear" w:color="auto" w:fill="auto"/>
            <w:noWrap/>
            <w:vAlign w:val="center"/>
          </w:tcPr>
          <w:p w14:paraId="137BF28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其中：太阳能发电量</w:t>
            </w:r>
          </w:p>
        </w:tc>
        <w:tc>
          <w:tcPr>
            <w:tcW w:w="2676" w:type="dxa"/>
            <w:tcBorders>
              <w:top w:val="nil"/>
              <w:left w:val="nil"/>
              <w:bottom w:val="nil"/>
              <w:right w:val="single" w:color="000000" w:sz="4" w:space="0"/>
            </w:tcBorders>
            <w:shd w:val="clear" w:color="auto" w:fill="auto"/>
            <w:noWrap/>
            <w:vAlign w:val="center"/>
          </w:tcPr>
          <w:p w14:paraId="38B6A0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万千瓦小时</w:t>
            </w:r>
          </w:p>
        </w:tc>
        <w:tc>
          <w:tcPr>
            <w:tcW w:w="0" w:type="auto"/>
            <w:tcBorders>
              <w:top w:val="nil"/>
              <w:left w:val="nil"/>
              <w:bottom w:val="nil"/>
              <w:right w:val="nil"/>
            </w:tcBorders>
            <w:shd w:val="clear" w:color="auto" w:fill="auto"/>
            <w:noWrap/>
            <w:vAlign w:val="center"/>
          </w:tcPr>
          <w:p w14:paraId="21200715">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19141</w:t>
            </w:r>
          </w:p>
        </w:tc>
      </w:tr>
      <w:tr w14:paraId="4795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560" w:type="dxa"/>
            <w:tcBorders>
              <w:top w:val="nil"/>
              <w:left w:val="nil"/>
              <w:bottom w:val="nil"/>
              <w:right w:val="single" w:color="000000" w:sz="4" w:space="0"/>
            </w:tcBorders>
            <w:shd w:val="clear" w:color="auto" w:fill="auto"/>
            <w:noWrap/>
            <w:vAlign w:val="center"/>
          </w:tcPr>
          <w:p w14:paraId="2917DACE">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供电量</w:t>
            </w:r>
          </w:p>
        </w:tc>
        <w:tc>
          <w:tcPr>
            <w:tcW w:w="2676" w:type="dxa"/>
            <w:tcBorders>
              <w:top w:val="nil"/>
              <w:left w:val="nil"/>
              <w:bottom w:val="nil"/>
              <w:right w:val="single" w:color="000000" w:sz="4" w:space="0"/>
            </w:tcBorders>
            <w:shd w:val="clear" w:color="auto" w:fill="auto"/>
            <w:noWrap/>
            <w:vAlign w:val="center"/>
          </w:tcPr>
          <w:p w14:paraId="7BC33E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万千瓦小时</w:t>
            </w:r>
          </w:p>
        </w:tc>
        <w:tc>
          <w:tcPr>
            <w:tcW w:w="0" w:type="auto"/>
            <w:tcBorders>
              <w:top w:val="nil"/>
              <w:left w:val="nil"/>
              <w:bottom w:val="nil"/>
              <w:right w:val="nil"/>
            </w:tcBorders>
            <w:shd w:val="clear" w:color="auto" w:fill="auto"/>
            <w:noWrap/>
            <w:vAlign w:val="center"/>
          </w:tcPr>
          <w:p w14:paraId="6B5D10A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330513.88</w:t>
            </w:r>
          </w:p>
        </w:tc>
      </w:tr>
      <w:tr w14:paraId="478C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560" w:type="dxa"/>
            <w:tcBorders>
              <w:top w:val="nil"/>
              <w:left w:val="nil"/>
              <w:bottom w:val="nil"/>
              <w:right w:val="single" w:color="000000" w:sz="4" w:space="0"/>
            </w:tcBorders>
            <w:shd w:val="clear" w:color="auto" w:fill="auto"/>
            <w:noWrap/>
            <w:vAlign w:val="center"/>
          </w:tcPr>
          <w:p w14:paraId="5B5A9760">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铁矿石</w:t>
            </w:r>
          </w:p>
        </w:tc>
        <w:tc>
          <w:tcPr>
            <w:tcW w:w="2676" w:type="dxa"/>
            <w:tcBorders>
              <w:top w:val="nil"/>
              <w:left w:val="nil"/>
              <w:bottom w:val="nil"/>
              <w:right w:val="single" w:color="000000" w:sz="4" w:space="0"/>
            </w:tcBorders>
            <w:shd w:val="clear" w:color="auto" w:fill="auto"/>
            <w:noWrap/>
            <w:vAlign w:val="center"/>
          </w:tcPr>
          <w:p w14:paraId="7CABB77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万吨</w:t>
            </w:r>
          </w:p>
        </w:tc>
        <w:tc>
          <w:tcPr>
            <w:tcW w:w="0" w:type="auto"/>
            <w:tcBorders>
              <w:top w:val="nil"/>
              <w:left w:val="nil"/>
              <w:bottom w:val="nil"/>
              <w:right w:val="nil"/>
            </w:tcBorders>
            <w:shd w:val="clear" w:color="auto" w:fill="auto"/>
            <w:noWrap/>
            <w:vAlign w:val="center"/>
          </w:tcPr>
          <w:p w14:paraId="140FF85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1153.29</w:t>
            </w:r>
          </w:p>
        </w:tc>
      </w:tr>
      <w:tr w14:paraId="6EA3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3560" w:type="dxa"/>
            <w:tcBorders>
              <w:top w:val="nil"/>
              <w:left w:val="nil"/>
              <w:bottom w:val="nil"/>
              <w:right w:val="single" w:color="000000" w:sz="4" w:space="0"/>
            </w:tcBorders>
            <w:shd w:val="clear" w:color="auto" w:fill="auto"/>
            <w:noWrap/>
            <w:vAlign w:val="center"/>
          </w:tcPr>
          <w:p w14:paraId="5F80AEE7">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石灰石</w:t>
            </w:r>
          </w:p>
        </w:tc>
        <w:tc>
          <w:tcPr>
            <w:tcW w:w="2676" w:type="dxa"/>
            <w:tcBorders>
              <w:top w:val="nil"/>
              <w:left w:val="nil"/>
              <w:bottom w:val="nil"/>
              <w:right w:val="single" w:color="000000" w:sz="4" w:space="0"/>
            </w:tcBorders>
            <w:shd w:val="clear" w:color="auto" w:fill="auto"/>
            <w:noWrap/>
            <w:vAlign w:val="center"/>
          </w:tcPr>
          <w:p w14:paraId="1A7B9B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万吨</w:t>
            </w:r>
          </w:p>
        </w:tc>
        <w:tc>
          <w:tcPr>
            <w:tcW w:w="0" w:type="auto"/>
            <w:tcBorders>
              <w:top w:val="nil"/>
              <w:left w:val="nil"/>
              <w:bottom w:val="nil"/>
              <w:right w:val="nil"/>
            </w:tcBorders>
            <w:shd w:val="clear" w:color="auto" w:fill="auto"/>
            <w:noWrap/>
            <w:vAlign w:val="center"/>
          </w:tcPr>
          <w:p w14:paraId="19FDE3E2">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657.86</w:t>
            </w:r>
          </w:p>
        </w:tc>
      </w:tr>
      <w:tr w14:paraId="69A8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3560" w:type="dxa"/>
            <w:tcBorders>
              <w:top w:val="nil"/>
              <w:left w:val="nil"/>
              <w:bottom w:val="single" w:color="000000" w:sz="4" w:space="0"/>
              <w:right w:val="single" w:color="000000" w:sz="4" w:space="0"/>
            </w:tcBorders>
            <w:shd w:val="clear" w:color="auto" w:fill="auto"/>
            <w:noWrap/>
            <w:vAlign w:val="center"/>
          </w:tcPr>
          <w:p w14:paraId="1F7A3D8E">
            <w:pPr>
              <w:keepNext w:val="0"/>
              <w:keepLines w:val="0"/>
              <w:pageBreakBefore w:val="0"/>
              <w:widowControl/>
              <w:suppressLineNumbers w:val="0"/>
              <w:kinsoku/>
              <w:wordWrap/>
              <w:overflowPunct/>
              <w:topLinePunct w:val="0"/>
              <w:autoSpaceDE/>
              <w:autoSpaceDN/>
              <w:bidi w:val="0"/>
              <w:adjustRightInd/>
              <w:snapToGrid/>
              <w:spacing w:line="560" w:lineRule="exact"/>
              <w:ind w:firstLine="960" w:firstLineChars="400"/>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钨金粉</w:t>
            </w:r>
          </w:p>
        </w:tc>
        <w:tc>
          <w:tcPr>
            <w:tcW w:w="2676" w:type="dxa"/>
            <w:tcBorders>
              <w:top w:val="nil"/>
              <w:left w:val="nil"/>
              <w:bottom w:val="single" w:color="000000" w:sz="4" w:space="0"/>
              <w:right w:val="single" w:color="000000" w:sz="4" w:space="0"/>
            </w:tcBorders>
            <w:shd w:val="clear" w:color="auto" w:fill="auto"/>
            <w:noWrap/>
            <w:vAlign w:val="center"/>
          </w:tcPr>
          <w:p w14:paraId="686872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吨</w:t>
            </w:r>
          </w:p>
        </w:tc>
        <w:tc>
          <w:tcPr>
            <w:tcW w:w="0" w:type="auto"/>
            <w:tcBorders>
              <w:top w:val="nil"/>
              <w:left w:val="nil"/>
              <w:bottom w:val="single" w:color="000000" w:sz="4" w:space="0"/>
              <w:right w:val="nil"/>
            </w:tcBorders>
            <w:shd w:val="clear" w:color="auto" w:fill="auto"/>
            <w:noWrap/>
            <w:vAlign w:val="center"/>
          </w:tcPr>
          <w:p w14:paraId="0DA5F19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1937.55</w:t>
            </w:r>
          </w:p>
        </w:tc>
      </w:tr>
    </w:tbl>
    <w:p w14:paraId="0A2D65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highlight w:val="none"/>
        </w:rPr>
        <w:t>全县现有具有资质等级的总承包和专业承包建筑业企业17户，全年全县资质以上建筑企业完成总产值</w:t>
      </w:r>
      <w:r>
        <w:rPr>
          <w:rFonts w:hint="eastAsia" w:ascii="仿宋_GB2312" w:hAnsi="仿宋_GB2312" w:eastAsia="仿宋_GB2312" w:cs="仿宋_GB2312"/>
          <w:color w:val="auto"/>
          <w:sz w:val="32"/>
          <w:szCs w:val="32"/>
          <w:highlight w:val="none"/>
          <w:lang w:val="en-US" w:eastAsia="zh-CN"/>
        </w:rPr>
        <w:t>8.49</w:t>
      </w:r>
      <w:r>
        <w:rPr>
          <w:rFonts w:hint="eastAsia" w:ascii="仿宋_GB2312" w:hAnsi="仿宋_GB2312" w:eastAsia="仿宋_GB2312" w:cs="仿宋_GB2312"/>
          <w:color w:val="auto"/>
          <w:sz w:val="32"/>
          <w:szCs w:val="32"/>
          <w:highlight w:val="none"/>
        </w:rPr>
        <w:t>亿元，同比增长</w:t>
      </w:r>
      <w:r>
        <w:rPr>
          <w:rFonts w:hint="eastAsia" w:ascii="仿宋_GB2312" w:hAnsi="仿宋_GB2312" w:eastAsia="仿宋_GB2312" w:cs="仿宋_GB2312"/>
          <w:color w:val="auto"/>
          <w:sz w:val="32"/>
          <w:szCs w:val="32"/>
          <w:highlight w:val="none"/>
          <w:lang w:val="en-US" w:eastAsia="zh-CN"/>
        </w:rPr>
        <w:t>21.8</w:t>
      </w:r>
      <w:r>
        <w:rPr>
          <w:rFonts w:hint="eastAsia" w:ascii="仿宋_GB2312" w:hAnsi="仿宋_GB2312" w:eastAsia="仿宋_GB2312" w:cs="仿宋_GB2312"/>
          <w:color w:val="auto"/>
          <w:sz w:val="32"/>
          <w:szCs w:val="32"/>
          <w:highlight w:val="none"/>
        </w:rPr>
        <w:t>%。全年全社会建筑业实现增加值3.</w:t>
      </w: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亿元，比上年增长2</w:t>
      </w:r>
      <w:r>
        <w:rPr>
          <w:rFonts w:hint="eastAsia" w:ascii="仿宋_GB2312" w:hAnsi="仿宋_GB2312" w:eastAsia="仿宋_GB2312" w:cs="仿宋_GB2312"/>
          <w:color w:val="auto"/>
          <w:sz w:val="32"/>
          <w:szCs w:val="32"/>
          <w:highlight w:val="none"/>
          <w:lang w:val="en-US" w:eastAsia="zh-CN"/>
        </w:rPr>
        <w:t>0.9</w:t>
      </w:r>
      <w:r>
        <w:rPr>
          <w:rFonts w:hint="eastAsia" w:ascii="仿宋_GB2312" w:hAnsi="仿宋_GB2312" w:eastAsia="仿宋_GB2312" w:cs="仿宋_GB2312"/>
          <w:color w:val="auto"/>
          <w:sz w:val="32"/>
          <w:szCs w:val="32"/>
          <w:highlight w:val="none"/>
        </w:rPr>
        <w:t>%。</w:t>
      </w:r>
    </w:p>
    <w:p w14:paraId="4EFF00B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四、固定资产投资</w:t>
      </w:r>
    </w:p>
    <w:p w14:paraId="675DB9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全县在库项目</w:t>
      </w:r>
      <w:r>
        <w:rPr>
          <w:rFonts w:hint="eastAsia" w:ascii="仿宋_GB2312" w:hAnsi="仿宋_GB2312" w:eastAsia="仿宋_GB2312" w:cs="仿宋_GB2312"/>
          <w:color w:val="auto"/>
          <w:sz w:val="32"/>
          <w:szCs w:val="32"/>
          <w:lang w:val="en-US" w:eastAsia="zh-CN"/>
        </w:rPr>
        <w:t>44</w:t>
      </w:r>
      <w:r>
        <w:rPr>
          <w:rFonts w:hint="eastAsia" w:ascii="仿宋_GB2312" w:hAnsi="仿宋_GB2312" w:eastAsia="仿宋_GB2312" w:cs="仿宋_GB2312"/>
          <w:color w:val="auto"/>
          <w:sz w:val="32"/>
          <w:szCs w:val="32"/>
        </w:rPr>
        <w:t>项，固定资产投资同比增长</w:t>
      </w:r>
      <w:r>
        <w:rPr>
          <w:rFonts w:hint="eastAsia" w:ascii="仿宋_GB2312" w:hAnsi="仿宋_GB2312" w:eastAsia="仿宋_GB2312" w:cs="仿宋_GB2312"/>
          <w:color w:val="auto"/>
          <w:sz w:val="32"/>
          <w:szCs w:val="32"/>
          <w:lang w:val="en-US" w:eastAsia="zh-CN"/>
        </w:rPr>
        <w:t>32.8</w:t>
      </w:r>
      <w:r>
        <w:rPr>
          <w:rFonts w:hint="eastAsia" w:ascii="仿宋_GB2312" w:hAnsi="仿宋_GB2312" w:eastAsia="仿宋_GB2312" w:cs="仿宋_GB2312"/>
          <w:color w:val="auto"/>
          <w:sz w:val="32"/>
          <w:szCs w:val="32"/>
        </w:rPr>
        <w:t>%。其中：</w:t>
      </w:r>
      <w:r>
        <w:rPr>
          <w:rFonts w:hint="eastAsia" w:ascii="仿宋_GB2312" w:hAnsi="仿宋_GB2312" w:eastAsia="仿宋_GB2312" w:cs="仿宋_GB2312"/>
          <w:color w:val="auto"/>
          <w:sz w:val="32"/>
          <w:szCs w:val="32"/>
          <w:lang w:eastAsia="zh-CN"/>
        </w:rPr>
        <w:t>500万-5000万</w:t>
      </w:r>
      <w:r>
        <w:rPr>
          <w:rFonts w:hint="eastAsia" w:ascii="仿宋_GB2312" w:hAnsi="仿宋_GB2312" w:eastAsia="仿宋_GB2312" w:cs="仿宋_GB2312"/>
          <w:color w:val="auto"/>
          <w:sz w:val="32"/>
          <w:szCs w:val="32"/>
        </w:rPr>
        <w:t>元项目</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项，投资完成同比</w:t>
      </w:r>
      <w:r>
        <w:rPr>
          <w:rFonts w:hint="eastAsia" w:ascii="仿宋_GB2312" w:hAnsi="仿宋_GB2312" w:eastAsia="仿宋_GB2312" w:cs="仿宋_GB2312"/>
          <w:color w:val="auto"/>
          <w:sz w:val="32"/>
          <w:szCs w:val="32"/>
          <w:lang w:val="en-US" w:eastAsia="zh-CN"/>
        </w:rPr>
        <w:t>增长406.58</w:t>
      </w:r>
      <w:r>
        <w:rPr>
          <w:rFonts w:hint="eastAsia" w:ascii="仿宋_GB2312" w:hAnsi="仿宋_GB2312" w:eastAsia="仿宋_GB2312" w:cs="仿宋_GB2312"/>
          <w:color w:val="auto"/>
          <w:sz w:val="32"/>
          <w:szCs w:val="32"/>
        </w:rPr>
        <w:t>%，5000万元以上项目</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项，投资完成同比</w:t>
      </w:r>
      <w:r>
        <w:rPr>
          <w:rFonts w:hint="eastAsia" w:ascii="仿宋_GB2312" w:hAnsi="仿宋_GB2312" w:eastAsia="仿宋_GB2312" w:cs="仿宋_GB2312"/>
          <w:color w:val="auto"/>
          <w:sz w:val="32"/>
          <w:szCs w:val="32"/>
          <w:lang w:val="en-US" w:eastAsia="zh-CN"/>
        </w:rPr>
        <w:t>下降21.89</w:t>
      </w:r>
      <w:r>
        <w:rPr>
          <w:rFonts w:hint="eastAsia" w:ascii="仿宋_GB2312" w:hAnsi="仿宋_GB2312" w:eastAsia="仿宋_GB2312" w:cs="仿宋_GB2312"/>
          <w:color w:val="auto"/>
          <w:sz w:val="32"/>
          <w:szCs w:val="32"/>
        </w:rPr>
        <w:t>%。工业投资完成同比</w:t>
      </w:r>
      <w:r>
        <w:rPr>
          <w:rFonts w:hint="eastAsia" w:ascii="仿宋_GB2312" w:hAnsi="仿宋_GB2312" w:eastAsia="仿宋_GB2312" w:cs="仿宋_GB2312"/>
          <w:color w:val="auto"/>
          <w:sz w:val="32"/>
          <w:szCs w:val="32"/>
          <w:lang w:val="en-US" w:eastAsia="zh-CN"/>
        </w:rPr>
        <w:t>下降83.33</w:t>
      </w:r>
      <w:r>
        <w:rPr>
          <w:rFonts w:hint="eastAsia" w:ascii="仿宋_GB2312" w:hAnsi="仿宋_GB2312" w:eastAsia="仿宋_GB2312" w:cs="仿宋_GB2312"/>
          <w:color w:val="auto"/>
          <w:sz w:val="32"/>
          <w:szCs w:val="32"/>
        </w:rPr>
        <w:t>%。</w:t>
      </w:r>
    </w:p>
    <w:p w14:paraId="7FD7156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五、交通、邮电和旅游</w:t>
      </w:r>
    </w:p>
    <w:p w14:paraId="418B0D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全年交通运输、仓储和邮政业实现增加值</w:t>
      </w:r>
      <w:r>
        <w:rPr>
          <w:rFonts w:hint="eastAsia" w:ascii="仿宋_GB2312" w:hAnsi="仿宋_GB2312" w:eastAsia="仿宋_GB2312" w:cs="仿宋_GB2312"/>
          <w:color w:val="auto"/>
          <w:sz w:val="32"/>
          <w:szCs w:val="32"/>
          <w:lang w:val="en-US" w:eastAsia="zh-CN"/>
        </w:rPr>
        <w:t>3369</w:t>
      </w:r>
      <w:r>
        <w:rPr>
          <w:rFonts w:hint="eastAsia" w:ascii="仿宋_GB2312" w:hAnsi="仿宋_GB2312" w:eastAsia="仿宋_GB2312" w:cs="仿宋_GB2312"/>
          <w:color w:val="auto"/>
          <w:sz w:val="32"/>
          <w:szCs w:val="32"/>
        </w:rPr>
        <w:t>万元，增长</w:t>
      </w:r>
      <w:r>
        <w:rPr>
          <w:rFonts w:hint="eastAsia" w:ascii="仿宋_GB2312" w:hAnsi="仿宋_GB2312" w:eastAsia="仿宋_GB2312" w:cs="仿宋_GB2312"/>
          <w:color w:val="auto"/>
          <w:sz w:val="32"/>
          <w:szCs w:val="32"/>
          <w:lang w:val="en-US" w:eastAsia="zh-CN"/>
        </w:rPr>
        <w:t>3.9</w:t>
      </w:r>
      <w:r>
        <w:rPr>
          <w:rFonts w:hint="eastAsia" w:ascii="仿宋_GB2312" w:hAnsi="仿宋_GB2312" w:eastAsia="仿宋_GB2312" w:cs="仿宋_GB2312"/>
          <w:color w:val="auto"/>
          <w:sz w:val="32"/>
          <w:szCs w:val="32"/>
        </w:rPr>
        <w:t>%。</w:t>
      </w:r>
    </w:p>
    <w:p w14:paraId="4158822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交通运输：</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年底，全县公路总通车里程达到</w:t>
      </w:r>
      <w:r>
        <w:rPr>
          <w:rFonts w:hint="eastAsia" w:ascii="仿宋_GB2312" w:hAnsi="仿宋_GB2312" w:eastAsia="仿宋_GB2312" w:cs="仿宋_GB2312"/>
          <w:color w:val="auto"/>
          <w:sz w:val="32"/>
          <w:szCs w:val="32"/>
          <w:highlight w:val="none"/>
          <w:lang w:val="en-US" w:eastAsia="zh-CN"/>
        </w:rPr>
        <w:t>1521.407</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其中：过境国道</w:t>
      </w:r>
      <w:r>
        <w:rPr>
          <w:rFonts w:hint="eastAsia" w:ascii="仿宋_GB2312" w:hAnsi="仿宋_GB2312" w:eastAsia="仿宋_GB2312" w:cs="仿宋_GB2312"/>
          <w:color w:val="auto"/>
          <w:sz w:val="32"/>
          <w:szCs w:val="32"/>
          <w:highlight w:val="none"/>
          <w:lang w:val="en-US" w:eastAsia="zh-CN"/>
        </w:rPr>
        <w:t>高速1</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公里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过境国道2条124.668公里</w:t>
      </w:r>
      <w:r>
        <w:rPr>
          <w:rFonts w:hint="eastAsia" w:ascii="仿宋_GB2312" w:hAnsi="仿宋_GB2312" w:eastAsia="仿宋_GB2312" w:cs="仿宋_GB2312"/>
          <w:color w:val="auto"/>
          <w:sz w:val="32"/>
          <w:szCs w:val="32"/>
          <w:highlight w:val="none"/>
        </w:rPr>
        <w:t>；过境省级高速1条</w:t>
      </w:r>
      <w:r>
        <w:rPr>
          <w:rFonts w:hint="eastAsia" w:ascii="仿宋_GB2312" w:hAnsi="仿宋_GB2312" w:eastAsia="仿宋_GB2312" w:cs="仿宋_GB2312"/>
          <w:color w:val="auto"/>
          <w:sz w:val="32"/>
          <w:szCs w:val="32"/>
          <w:highlight w:val="none"/>
          <w:lang w:val="en-US" w:eastAsia="zh-CN"/>
        </w:rPr>
        <w:t>7.444</w:t>
      </w:r>
      <w:r>
        <w:rPr>
          <w:rFonts w:hint="eastAsia" w:ascii="仿宋_GB2312" w:hAnsi="仿宋_GB2312" w:eastAsia="仿宋_GB2312" w:cs="仿宋_GB2312"/>
          <w:color w:val="auto"/>
          <w:sz w:val="32"/>
          <w:szCs w:val="32"/>
          <w:highlight w:val="none"/>
        </w:rPr>
        <w:t>公里；过境省道</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312.237</w:t>
      </w:r>
      <w:r>
        <w:rPr>
          <w:rFonts w:hint="eastAsia" w:ascii="仿宋_GB2312" w:hAnsi="仿宋_GB2312" w:eastAsia="仿宋_GB2312" w:cs="仿宋_GB2312"/>
          <w:color w:val="auto"/>
          <w:sz w:val="32"/>
          <w:szCs w:val="32"/>
          <w:highlight w:val="none"/>
        </w:rPr>
        <w:t>公里；县道8条</w:t>
      </w:r>
      <w:r>
        <w:rPr>
          <w:rFonts w:hint="eastAsia" w:ascii="仿宋_GB2312" w:hAnsi="仿宋_GB2312" w:eastAsia="仿宋_GB2312" w:cs="仿宋_GB2312"/>
          <w:color w:val="auto"/>
          <w:sz w:val="32"/>
          <w:szCs w:val="32"/>
          <w:highlight w:val="none"/>
          <w:lang w:val="en-US" w:eastAsia="zh-CN"/>
        </w:rPr>
        <w:t>226.436</w:t>
      </w:r>
      <w:r>
        <w:rPr>
          <w:rFonts w:hint="eastAsia" w:ascii="仿宋_GB2312" w:hAnsi="仿宋_GB2312" w:eastAsia="仿宋_GB2312" w:cs="仿宋_GB2312"/>
          <w:color w:val="auto"/>
          <w:sz w:val="32"/>
          <w:szCs w:val="32"/>
          <w:highlight w:val="none"/>
        </w:rPr>
        <w:t>公里；乡道8条</w:t>
      </w:r>
      <w:r>
        <w:rPr>
          <w:rFonts w:hint="eastAsia" w:ascii="仿宋_GB2312" w:hAnsi="仿宋_GB2312" w:eastAsia="仿宋_GB2312" w:cs="仿宋_GB2312"/>
          <w:color w:val="auto"/>
          <w:sz w:val="32"/>
          <w:szCs w:val="32"/>
          <w:highlight w:val="none"/>
          <w:lang w:val="en-US" w:eastAsia="zh-CN"/>
        </w:rPr>
        <w:t>263.374</w:t>
      </w:r>
      <w:r>
        <w:rPr>
          <w:rFonts w:hint="eastAsia" w:ascii="仿宋_GB2312" w:hAnsi="仿宋_GB2312" w:eastAsia="仿宋_GB2312" w:cs="仿宋_GB2312"/>
          <w:color w:val="auto"/>
          <w:sz w:val="32"/>
          <w:szCs w:val="32"/>
          <w:highlight w:val="none"/>
        </w:rPr>
        <w:t>公里；村道2</w:t>
      </w:r>
      <w:r>
        <w:rPr>
          <w:rFonts w:hint="eastAsia" w:ascii="仿宋_GB2312" w:hAnsi="仿宋_GB2312" w:eastAsia="仿宋_GB2312" w:cs="仿宋_GB2312"/>
          <w:color w:val="auto"/>
          <w:sz w:val="32"/>
          <w:szCs w:val="32"/>
          <w:highlight w:val="none"/>
          <w:lang w:val="en-US" w:eastAsia="zh-CN"/>
        </w:rPr>
        <w:t>49</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554.248</w:t>
      </w:r>
      <w:r>
        <w:rPr>
          <w:rFonts w:hint="eastAsia" w:ascii="仿宋_GB2312" w:hAnsi="仿宋_GB2312" w:eastAsia="仿宋_GB2312" w:cs="仿宋_GB2312"/>
          <w:color w:val="auto"/>
          <w:sz w:val="32"/>
          <w:szCs w:val="32"/>
          <w:highlight w:val="none"/>
        </w:rPr>
        <w:t>公里。全县共有货运经营业户</w:t>
      </w:r>
      <w:r>
        <w:rPr>
          <w:rFonts w:hint="eastAsia" w:ascii="仿宋_GB2312" w:hAnsi="仿宋_GB2312" w:eastAsia="仿宋_GB2312" w:cs="仿宋_GB2312"/>
          <w:color w:val="auto"/>
          <w:sz w:val="32"/>
          <w:szCs w:val="32"/>
          <w:highlight w:val="none"/>
          <w:lang w:val="en-US" w:eastAsia="zh-CN"/>
        </w:rPr>
        <w:t>73</w:t>
      </w:r>
      <w:r>
        <w:rPr>
          <w:rFonts w:hint="eastAsia" w:ascii="仿宋_GB2312" w:hAnsi="仿宋_GB2312" w:eastAsia="仿宋_GB2312" w:cs="仿宋_GB2312"/>
          <w:color w:val="auto"/>
          <w:sz w:val="32"/>
          <w:szCs w:val="32"/>
          <w:highlight w:val="none"/>
        </w:rPr>
        <w:t>户，道路运输从业人员208人，客运经营业户5户，机动车维修业户</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户。全年共完成公路运输总周转量</w:t>
      </w:r>
      <w:r>
        <w:rPr>
          <w:rFonts w:hint="eastAsia" w:ascii="仿宋_GB2312" w:hAnsi="仿宋_GB2312" w:eastAsia="仿宋_GB2312" w:cs="仿宋_GB2312"/>
          <w:color w:val="auto"/>
          <w:sz w:val="32"/>
          <w:szCs w:val="32"/>
          <w:highlight w:val="none"/>
          <w:lang w:val="en-US" w:eastAsia="zh-CN"/>
        </w:rPr>
        <w:t>2791.37</w:t>
      </w:r>
      <w:r>
        <w:rPr>
          <w:rFonts w:hint="eastAsia" w:ascii="仿宋_GB2312" w:hAnsi="仿宋_GB2312" w:eastAsia="仿宋_GB2312" w:cs="仿宋_GB2312"/>
          <w:color w:val="auto"/>
          <w:sz w:val="32"/>
          <w:szCs w:val="32"/>
          <w:highlight w:val="none"/>
        </w:rPr>
        <w:t>万吨公里，其中客运量</w:t>
      </w:r>
      <w:r>
        <w:rPr>
          <w:rFonts w:hint="eastAsia" w:ascii="仿宋_GB2312" w:hAnsi="仿宋_GB2312" w:eastAsia="仿宋_GB2312" w:cs="仿宋_GB2312"/>
          <w:color w:val="auto"/>
          <w:sz w:val="32"/>
          <w:szCs w:val="32"/>
          <w:highlight w:val="none"/>
          <w:lang w:val="en-US" w:eastAsia="zh-CN"/>
        </w:rPr>
        <w:t>49.65</w:t>
      </w:r>
      <w:r>
        <w:rPr>
          <w:rFonts w:hint="eastAsia" w:ascii="仿宋_GB2312" w:hAnsi="仿宋_GB2312" w:eastAsia="仿宋_GB2312" w:cs="仿宋_GB2312"/>
          <w:color w:val="auto"/>
          <w:sz w:val="32"/>
          <w:szCs w:val="32"/>
          <w:highlight w:val="none"/>
        </w:rPr>
        <w:t>万人次、客运周转量</w:t>
      </w:r>
      <w:r>
        <w:rPr>
          <w:rFonts w:hint="eastAsia" w:ascii="仿宋_GB2312" w:hAnsi="仿宋_GB2312" w:eastAsia="仿宋_GB2312" w:cs="仿宋_GB2312"/>
          <w:color w:val="auto"/>
          <w:sz w:val="32"/>
          <w:szCs w:val="32"/>
          <w:highlight w:val="none"/>
          <w:lang w:val="en-US" w:eastAsia="zh-CN"/>
        </w:rPr>
        <w:t>2229.925</w:t>
      </w:r>
      <w:r>
        <w:rPr>
          <w:rFonts w:hint="eastAsia" w:ascii="仿宋_GB2312" w:hAnsi="仿宋_GB2312" w:eastAsia="仿宋_GB2312" w:cs="仿宋_GB2312"/>
          <w:color w:val="auto"/>
          <w:sz w:val="32"/>
          <w:szCs w:val="32"/>
          <w:highlight w:val="none"/>
        </w:rPr>
        <w:t>万人公里；共完成货运量</w:t>
      </w: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color w:val="auto"/>
          <w:sz w:val="32"/>
          <w:szCs w:val="32"/>
          <w:highlight w:val="none"/>
        </w:rPr>
        <w:t>万吨、货运周转量</w:t>
      </w:r>
      <w:r>
        <w:rPr>
          <w:rFonts w:hint="eastAsia" w:ascii="仿宋_GB2312" w:hAnsi="仿宋_GB2312" w:eastAsia="仿宋_GB2312" w:cs="仿宋_GB2312"/>
          <w:color w:val="auto"/>
          <w:sz w:val="32"/>
          <w:szCs w:val="32"/>
          <w:highlight w:val="none"/>
          <w:lang w:val="en-US" w:eastAsia="zh-CN"/>
        </w:rPr>
        <w:t>2565.4</w:t>
      </w:r>
      <w:r>
        <w:rPr>
          <w:rFonts w:hint="eastAsia" w:ascii="仿宋_GB2312" w:hAnsi="仿宋_GB2312" w:eastAsia="仿宋_GB2312" w:cs="仿宋_GB2312"/>
          <w:color w:val="auto"/>
          <w:sz w:val="32"/>
          <w:szCs w:val="32"/>
          <w:highlight w:val="none"/>
        </w:rPr>
        <w:t>万吨公里。年末全县客运线路28条，共有各类营业性车辆</w:t>
      </w:r>
      <w:r>
        <w:rPr>
          <w:rFonts w:hint="eastAsia" w:ascii="仿宋_GB2312" w:hAnsi="仿宋_GB2312" w:eastAsia="仿宋_GB2312" w:cs="仿宋_GB2312"/>
          <w:color w:val="auto"/>
          <w:sz w:val="32"/>
          <w:szCs w:val="32"/>
          <w:highlight w:val="none"/>
          <w:lang w:val="en-US" w:eastAsia="zh-CN"/>
        </w:rPr>
        <w:t>190</w:t>
      </w:r>
      <w:r>
        <w:rPr>
          <w:rFonts w:hint="eastAsia" w:ascii="仿宋_GB2312" w:hAnsi="仿宋_GB2312" w:eastAsia="仿宋_GB2312" w:cs="仿宋_GB2312"/>
          <w:color w:val="auto"/>
          <w:sz w:val="32"/>
          <w:szCs w:val="32"/>
          <w:highlight w:val="none"/>
        </w:rPr>
        <w:t>辆，其中货车</w:t>
      </w:r>
      <w:r>
        <w:rPr>
          <w:rFonts w:hint="eastAsia" w:ascii="仿宋_GB2312" w:hAnsi="仿宋_GB2312" w:eastAsia="仿宋_GB2312" w:cs="仿宋_GB2312"/>
          <w:color w:val="auto"/>
          <w:sz w:val="32"/>
          <w:szCs w:val="32"/>
          <w:highlight w:val="none"/>
          <w:lang w:val="en-US" w:eastAsia="zh-CN"/>
        </w:rPr>
        <w:t>105</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val="en-US" w:eastAsia="zh-CN"/>
        </w:rPr>
        <w:t>1380</w:t>
      </w:r>
      <w:r>
        <w:rPr>
          <w:rFonts w:hint="eastAsia" w:ascii="仿宋_GB2312" w:hAnsi="仿宋_GB2312" w:eastAsia="仿宋_GB2312" w:cs="仿宋_GB2312"/>
          <w:color w:val="auto"/>
          <w:sz w:val="32"/>
          <w:szCs w:val="32"/>
          <w:highlight w:val="none"/>
        </w:rPr>
        <w:t>吨，旅游客车21辆736座，出租车5</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val="en-US" w:eastAsia="zh-CN"/>
        </w:rPr>
        <w:t>263</w:t>
      </w:r>
      <w:r>
        <w:rPr>
          <w:rFonts w:hint="eastAsia" w:ascii="仿宋_GB2312" w:hAnsi="仿宋_GB2312" w:eastAsia="仿宋_GB2312" w:cs="仿宋_GB2312"/>
          <w:color w:val="auto"/>
          <w:sz w:val="32"/>
          <w:szCs w:val="32"/>
          <w:highlight w:val="none"/>
        </w:rPr>
        <w:t>座，公交客车3辆69座，班线客车10辆328座。</w:t>
      </w:r>
    </w:p>
    <w:p w14:paraId="075C25B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rPr>
        <w:t>邮电通讯：</w:t>
      </w:r>
      <w:r>
        <w:rPr>
          <w:rFonts w:hint="eastAsia" w:ascii="仿宋_GB2312" w:hAnsi="仿宋_GB2312" w:eastAsia="仿宋_GB2312" w:cs="仿宋_GB2312"/>
          <w:color w:val="auto"/>
          <w:sz w:val="32"/>
          <w:szCs w:val="32"/>
          <w:highlight w:val="none"/>
          <w:lang w:eastAsia="zh-CN"/>
        </w:rPr>
        <w:t>邮政业务累计完成收入</w:t>
      </w:r>
      <w:r>
        <w:rPr>
          <w:rFonts w:hint="eastAsia" w:ascii="仿宋_GB2312" w:hAnsi="仿宋_GB2312" w:eastAsia="仿宋_GB2312" w:cs="仿宋_GB2312"/>
          <w:color w:val="auto"/>
          <w:sz w:val="32"/>
          <w:szCs w:val="32"/>
          <w:highlight w:val="none"/>
          <w:lang w:val="en-US" w:eastAsia="zh-CN"/>
        </w:rPr>
        <w:t>539.88</w:t>
      </w:r>
      <w:r>
        <w:rPr>
          <w:rFonts w:hint="eastAsia" w:ascii="仿宋_GB2312" w:hAnsi="仿宋_GB2312" w:eastAsia="仿宋_GB2312" w:cs="仿宋_GB2312"/>
          <w:color w:val="auto"/>
          <w:sz w:val="32"/>
          <w:szCs w:val="32"/>
          <w:highlight w:val="none"/>
          <w:lang w:eastAsia="zh-CN"/>
        </w:rPr>
        <w:t>万元，增长</w:t>
      </w:r>
      <w:r>
        <w:rPr>
          <w:rFonts w:hint="eastAsia" w:ascii="仿宋_GB2312" w:hAnsi="仿宋_GB2312" w:eastAsia="仿宋_GB2312" w:cs="仿宋_GB2312"/>
          <w:color w:val="auto"/>
          <w:sz w:val="32"/>
          <w:szCs w:val="32"/>
          <w:highlight w:val="none"/>
          <w:lang w:val="en-US" w:eastAsia="zh-CN"/>
        </w:rPr>
        <w:t>2.18</w:t>
      </w:r>
      <w:r>
        <w:rPr>
          <w:rFonts w:hint="eastAsia" w:ascii="仿宋_GB2312" w:hAnsi="仿宋_GB2312" w:eastAsia="仿宋_GB2312" w:cs="仿宋_GB2312"/>
          <w:color w:val="auto"/>
          <w:sz w:val="32"/>
          <w:szCs w:val="32"/>
          <w:highlight w:val="none"/>
          <w:lang w:eastAsia="zh-CN"/>
        </w:rPr>
        <w:t>%。其中代理金融业务收入完成</w:t>
      </w:r>
      <w:r>
        <w:rPr>
          <w:rFonts w:hint="eastAsia" w:ascii="仿宋_GB2312" w:hAnsi="仿宋_GB2312" w:eastAsia="仿宋_GB2312" w:cs="仿宋_GB2312"/>
          <w:color w:val="auto"/>
          <w:sz w:val="32"/>
          <w:szCs w:val="32"/>
          <w:highlight w:val="none"/>
          <w:lang w:val="en-US" w:eastAsia="zh-CN"/>
        </w:rPr>
        <w:t>279.89</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下降0.39</w:t>
      </w:r>
      <w:r>
        <w:rPr>
          <w:rFonts w:hint="eastAsia" w:ascii="仿宋_GB2312" w:hAnsi="仿宋_GB2312" w:eastAsia="仿宋_GB2312" w:cs="仿宋_GB2312"/>
          <w:color w:val="auto"/>
          <w:sz w:val="32"/>
          <w:szCs w:val="32"/>
          <w:highlight w:val="none"/>
          <w:lang w:eastAsia="zh-CN"/>
        </w:rPr>
        <w:t>%；寄递业务收入完成</w:t>
      </w:r>
      <w:r>
        <w:rPr>
          <w:rFonts w:hint="eastAsia" w:ascii="仿宋_GB2312" w:hAnsi="仿宋_GB2312" w:eastAsia="仿宋_GB2312" w:cs="仿宋_GB2312"/>
          <w:color w:val="auto"/>
          <w:sz w:val="32"/>
          <w:szCs w:val="32"/>
          <w:highlight w:val="none"/>
          <w:lang w:val="en-US" w:eastAsia="zh-CN"/>
        </w:rPr>
        <w:t>120.17</w:t>
      </w:r>
      <w:r>
        <w:rPr>
          <w:rFonts w:hint="eastAsia" w:ascii="仿宋_GB2312" w:hAnsi="仿宋_GB2312" w:eastAsia="仿宋_GB2312" w:cs="仿宋_GB2312"/>
          <w:color w:val="auto"/>
          <w:sz w:val="32"/>
          <w:szCs w:val="32"/>
          <w:highlight w:val="none"/>
          <w:lang w:eastAsia="zh-CN"/>
        </w:rPr>
        <w:t>万元，增长1</w:t>
      </w:r>
      <w:r>
        <w:rPr>
          <w:rFonts w:hint="eastAsia" w:ascii="仿宋_GB2312" w:hAnsi="仿宋_GB2312" w:eastAsia="仿宋_GB2312" w:cs="仿宋_GB2312"/>
          <w:color w:val="auto"/>
          <w:sz w:val="32"/>
          <w:szCs w:val="32"/>
          <w:highlight w:val="none"/>
          <w:lang w:val="en-US" w:eastAsia="zh-CN"/>
        </w:rPr>
        <w:t>.60</w:t>
      </w:r>
      <w:r>
        <w:rPr>
          <w:rFonts w:hint="eastAsia" w:ascii="仿宋_GB2312" w:hAnsi="仿宋_GB2312" w:eastAsia="仿宋_GB2312" w:cs="仿宋_GB2312"/>
          <w:color w:val="auto"/>
          <w:sz w:val="32"/>
          <w:szCs w:val="32"/>
          <w:highlight w:val="none"/>
          <w:lang w:eastAsia="zh-CN"/>
        </w:rPr>
        <w:t>%；集邮业务收入完成2</w:t>
      </w:r>
      <w:r>
        <w:rPr>
          <w:rFonts w:hint="eastAsia" w:ascii="仿宋_GB2312" w:hAnsi="仿宋_GB2312" w:eastAsia="仿宋_GB2312" w:cs="仿宋_GB2312"/>
          <w:color w:val="auto"/>
          <w:sz w:val="32"/>
          <w:szCs w:val="32"/>
          <w:highlight w:val="none"/>
          <w:lang w:val="en-US" w:eastAsia="zh-CN"/>
        </w:rPr>
        <w:t>4.87</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增长187.3</w:t>
      </w:r>
      <w:r>
        <w:rPr>
          <w:rFonts w:hint="eastAsia" w:ascii="仿宋_GB2312" w:hAnsi="仿宋_GB2312" w:eastAsia="仿宋_GB2312" w:cs="仿宋_GB2312"/>
          <w:color w:val="auto"/>
          <w:sz w:val="32"/>
          <w:szCs w:val="32"/>
          <w:highlight w:val="none"/>
          <w:lang w:eastAsia="zh-CN"/>
        </w:rPr>
        <w:t>%；函件业务</w:t>
      </w:r>
      <w:r>
        <w:rPr>
          <w:rFonts w:hint="eastAsia" w:ascii="仿宋_GB2312" w:hAnsi="仿宋_GB2312" w:eastAsia="仿宋_GB2312" w:cs="仿宋_GB2312"/>
          <w:color w:val="auto"/>
          <w:sz w:val="32"/>
          <w:szCs w:val="32"/>
          <w:highlight w:val="none"/>
          <w:lang w:val="en-US" w:eastAsia="zh-CN"/>
        </w:rPr>
        <w:t>收入</w:t>
      </w:r>
      <w:r>
        <w:rPr>
          <w:rFonts w:hint="eastAsia" w:ascii="仿宋_GB2312" w:hAnsi="仿宋_GB2312" w:eastAsia="仿宋_GB2312" w:cs="仿宋_GB2312"/>
          <w:color w:val="auto"/>
          <w:sz w:val="32"/>
          <w:szCs w:val="32"/>
          <w:highlight w:val="none"/>
          <w:lang w:eastAsia="zh-CN"/>
        </w:rPr>
        <w:t>完成</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下降68.23</w:t>
      </w:r>
      <w:r>
        <w:rPr>
          <w:rFonts w:hint="eastAsia" w:ascii="仿宋_GB2312" w:hAnsi="仿宋_GB2312" w:eastAsia="仿宋_GB2312" w:cs="仿宋_GB2312"/>
          <w:color w:val="auto"/>
          <w:sz w:val="32"/>
          <w:szCs w:val="32"/>
          <w:highlight w:val="none"/>
          <w:lang w:eastAsia="zh-CN"/>
        </w:rPr>
        <w:t>%；报刊发行业务收入完成</w:t>
      </w:r>
      <w:r>
        <w:rPr>
          <w:rFonts w:hint="eastAsia" w:ascii="仿宋_GB2312" w:hAnsi="仿宋_GB2312" w:eastAsia="仿宋_GB2312" w:cs="仿宋_GB2312"/>
          <w:color w:val="auto"/>
          <w:sz w:val="32"/>
          <w:szCs w:val="32"/>
          <w:highlight w:val="none"/>
          <w:lang w:val="en-US" w:eastAsia="zh-CN"/>
        </w:rPr>
        <w:t>64.68</w:t>
      </w:r>
      <w:r>
        <w:rPr>
          <w:rFonts w:hint="eastAsia" w:ascii="仿宋_GB2312" w:hAnsi="仿宋_GB2312" w:eastAsia="仿宋_GB2312" w:cs="仿宋_GB2312"/>
          <w:color w:val="auto"/>
          <w:sz w:val="32"/>
          <w:szCs w:val="32"/>
          <w:highlight w:val="none"/>
          <w:lang w:eastAsia="zh-CN"/>
        </w:rPr>
        <w:t>万元，增长</w:t>
      </w:r>
      <w:r>
        <w:rPr>
          <w:rFonts w:hint="eastAsia" w:ascii="仿宋_GB2312" w:hAnsi="仿宋_GB2312" w:eastAsia="仿宋_GB2312" w:cs="仿宋_GB2312"/>
          <w:color w:val="auto"/>
          <w:sz w:val="32"/>
          <w:szCs w:val="32"/>
          <w:highlight w:val="none"/>
          <w:lang w:val="en-US" w:eastAsia="zh-CN"/>
        </w:rPr>
        <w:t>10.36</w:t>
      </w:r>
      <w:r>
        <w:rPr>
          <w:rFonts w:hint="eastAsia" w:ascii="仿宋_GB2312" w:hAnsi="仿宋_GB2312" w:eastAsia="仿宋_GB2312" w:cs="仿宋_GB2312"/>
          <w:color w:val="auto"/>
          <w:sz w:val="32"/>
          <w:szCs w:val="32"/>
          <w:highlight w:val="none"/>
          <w:lang w:eastAsia="zh-CN"/>
        </w:rPr>
        <w:t>%；其他业务收入完成</w:t>
      </w:r>
      <w:r>
        <w:rPr>
          <w:rFonts w:hint="eastAsia" w:ascii="仿宋_GB2312" w:hAnsi="仿宋_GB2312" w:eastAsia="仿宋_GB2312" w:cs="仿宋_GB2312"/>
          <w:color w:val="auto"/>
          <w:sz w:val="32"/>
          <w:szCs w:val="32"/>
          <w:highlight w:val="none"/>
          <w:lang w:val="en-US" w:eastAsia="zh-CN"/>
        </w:rPr>
        <w:t>29.98</w:t>
      </w:r>
      <w:r>
        <w:rPr>
          <w:rFonts w:hint="eastAsia" w:ascii="仿宋_GB2312" w:hAnsi="仿宋_GB2312" w:eastAsia="仿宋_GB2312" w:cs="仿宋_GB2312"/>
          <w:color w:val="auto"/>
          <w:sz w:val="32"/>
          <w:szCs w:val="32"/>
          <w:highlight w:val="none"/>
          <w:lang w:eastAsia="zh-CN"/>
        </w:rPr>
        <w:t>万元，增长</w:t>
      </w:r>
      <w:r>
        <w:rPr>
          <w:rFonts w:hint="eastAsia" w:ascii="仿宋_GB2312" w:hAnsi="仿宋_GB2312" w:eastAsia="仿宋_GB2312" w:cs="仿宋_GB2312"/>
          <w:color w:val="auto"/>
          <w:sz w:val="32"/>
          <w:szCs w:val="32"/>
          <w:highlight w:val="none"/>
          <w:lang w:val="en-US" w:eastAsia="zh-CN"/>
        </w:rPr>
        <w:t>2.31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无电子商务业务收入。年末移动电话用户达到39541户，其中4G移动电话用户5117户，5G移动电话用户34424户。年末移动电话接入互联网用户39541户，固定互联网宽带用户达到17892户，其中固定互联网光纤宽带接入用户17318户。</w:t>
      </w:r>
    </w:p>
    <w:p w14:paraId="66CD203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旅游：</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年全年</w:t>
      </w:r>
      <w:r>
        <w:rPr>
          <w:rFonts w:hint="eastAsia" w:ascii="仿宋_GB2312" w:hAnsi="仿宋_GB2312" w:eastAsia="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lang w:eastAsia="zh-CN"/>
        </w:rPr>
        <w:t>接待游客</w:t>
      </w:r>
      <w:r>
        <w:rPr>
          <w:rFonts w:hint="eastAsia" w:ascii="仿宋_GB2312" w:hAnsi="仿宋_GB2312" w:eastAsia="仿宋_GB2312" w:cs="仿宋_GB2312"/>
          <w:color w:val="auto"/>
          <w:sz w:val="32"/>
          <w:szCs w:val="32"/>
          <w:highlight w:val="none"/>
          <w:lang w:val="en-US" w:eastAsia="zh-CN"/>
        </w:rPr>
        <w:t>438.55</w:t>
      </w:r>
      <w:r>
        <w:rPr>
          <w:rFonts w:hint="eastAsia" w:ascii="仿宋_GB2312" w:hAnsi="仿宋_GB2312" w:eastAsia="仿宋_GB2312" w:cs="仿宋_GB2312"/>
          <w:color w:val="auto"/>
          <w:sz w:val="32"/>
          <w:szCs w:val="32"/>
          <w:highlight w:val="none"/>
          <w:lang w:eastAsia="zh-CN"/>
        </w:rPr>
        <w:t>万人次，同比增长</w:t>
      </w:r>
      <w:r>
        <w:rPr>
          <w:rFonts w:hint="eastAsia" w:ascii="仿宋_GB2312" w:hAnsi="仿宋_GB2312" w:eastAsia="仿宋_GB2312" w:cs="仿宋_GB2312"/>
          <w:color w:val="auto"/>
          <w:sz w:val="32"/>
          <w:szCs w:val="32"/>
          <w:highlight w:val="none"/>
          <w:lang w:val="en-US" w:eastAsia="zh-CN"/>
        </w:rPr>
        <w:t>16.29</w:t>
      </w:r>
      <w:r>
        <w:rPr>
          <w:rFonts w:hint="eastAsia" w:ascii="仿宋_GB2312" w:hAnsi="仿宋_GB2312" w:eastAsia="仿宋_GB2312" w:cs="仿宋_GB2312"/>
          <w:color w:val="auto"/>
          <w:sz w:val="32"/>
          <w:szCs w:val="32"/>
          <w:highlight w:val="none"/>
          <w:lang w:eastAsia="zh-CN"/>
        </w:rPr>
        <w:t>%，实现旅游综合收入</w:t>
      </w:r>
      <w:r>
        <w:rPr>
          <w:rFonts w:hint="eastAsia" w:ascii="仿宋_GB2312" w:hAnsi="仿宋_GB2312" w:eastAsia="仿宋_GB2312" w:cs="仿宋_GB2312"/>
          <w:color w:val="auto"/>
          <w:sz w:val="32"/>
          <w:szCs w:val="32"/>
          <w:highlight w:val="none"/>
          <w:lang w:val="en-US" w:eastAsia="zh-CN"/>
        </w:rPr>
        <w:t>25.67</w:t>
      </w:r>
      <w:r>
        <w:rPr>
          <w:rFonts w:hint="eastAsia" w:ascii="仿宋_GB2312" w:hAnsi="仿宋_GB2312" w:eastAsia="仿宋_GB2312" w:cs="仿宋_GB2312"/>
          <w:color w:val="auto"/>
          <w:sz w:val="32"/>
          <w:szCs w:val="32"/>
          <w:highlight w:val="none"/>
          <w:lang w:eastAsia="zh-CN"/>
        </w:rPr>
        <w:t>亿元，同比增长</w:t>
      </w:r>
      <w:r>
        <w:rPr>
          <w:rFonts w:hint="eastAsia" w:ascii="仿宋_GB2312" w:hAnsi="仿宋_GB2312" w:eastAsia="仿宋_GB2312" w:cs="仿宋_GB2312"/>
          <w:color w:val="auto"/>
          <w:sz w:val="32"/>
          <w:szCs w:val="32"/>
          <w:highlight w:val="none"/>
          <w:lang w:val="en-US" w:eastAsia="zh-CN"/>
        </w:rPr>
        <w:t>45.94</w:t>
      </w:r>
      <w:r>
        <w:rPr>
          <w:rFonts w:hint="eastAsia" w:ascii="仿宋_GB2312" w:hAnsi="仿宋_GB2312" w:eastAsia="仿宋_GB2312" w:cs="仿宋_GB2312"/>
          <w:color w:val="auto"/>
          <w:sz w:val="32"/>
          <w:szCs w:val="32"/>
          <w:highlight w:val="none"/>
          <w:lang w:eastAsia="zh-CN"/>
        </w:rPr>
        <w:t>%。</w:t>
      </w:r>
    </w:p>
    <w:p w14:paraId="6E6568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六、国内贸易</w:t>
      </w:r>
    </w:p>
    <w:p w14:paraId="37E118E1">
      <w:pPr>
        <w:pStyle w:val="7"/>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textAlignment w:val="auto"/>
        <w:rPr>
          <w:rFonts w:hint="eastAsia"/>
          <w:color w:val="auto"/>
        </w:rPr>
      </w:pPr>
      <w:r>
        <w:rPr>
          <w:rFonts w:hint="eastAsia" w:ascii="仿宋_GB2312" w:hAnsi="仿宋_GB2312" w:eastAsia="仿宋_GB2312" w:cs="仿宋_GB2312"/>
          <w:color w:val="auto"/>
          <w:kern w:val="2"/>
          <w:sz w:val="32"/>
          <w:szCs w:val="32"/>
          <w:lang w:val="en-US" w:eastAsia="zh-CN" w:bidi="ar-SA"/>
        </w:rPr>
        <w:t xml:space="preserve">2024年全年实现社会消费品零售总额7.75亿元，比上年增长6.3%。按销售单位所在地统计，城镇实现社会消费品零售总额4.45亿元，增长6.0%；乡村实现社会消费品零售总额3.3亿元，增长6.7%。按行业分，批发业实现销售额2.65亿元，比上年增长3.1%；零售业实现销售额7.05亿元，比上年增长17.6%；住宿业实现营业额0.24亿元，比上年增长0.3%；餐饮业实现营业额1.03亿元，比上年增长10.4%。限额以上消费品零售额完成1358.8万元，同比增长35.3%。年内新增限额以上餐饮大个体1户、限额以上零售企业1户。 </w:t>
      </w:r>
    </w:p>
    <w:p w14:paraId="13F1B85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七、财政、金融和保险业</w:t>
      </w:r>
    </w:p>
    <w:p w14:paraId="07A8E87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财政：</w:t>
      </w:r>
      <w:r>
        <w:rPr>
          <w:rFonts w:hint="eastAsia" w:ascii="仿宋_GB2312" w:hAnsi="仿宋_GB2312" w:eastAsia="仿宋_GB2312" w:cs="仿宋_GB2312"/>
          <w:color w:val="auto"/>
          <w:sz w:val="32"/>
          <w:szCs w:val="32"/>
        </w:rPr>
        <w:t>全年完成公共财政预算收入</w:t>
      </w:r>
      <w:r>
        <w:rPr>
          <w:rFonts w:hint="eastAsia" w:ascii="仿宋_GB2312" w:hAnsi="仿宋_GB2312" w:eastAsia="仿宋_GB2312" w:cs="仿宋_GB2312"/>
          <w:color w:val="auto"/>
          <w:sz w:val="32"/>
          <w:szCs w:val="32"/>
          <w:lang w:val="en-US" w:eastAsia="zh-CN"/>
        </w:rPr>
        <w:t>34011</w:t>
      </w:r>
      <w:r>
        <w:rPr>
          <w:rFonts w:hint="eastAsia" w:ascii="仿宋_GB2312" w:hAnsi="仿宋_GB2312" w:eastAsia="仿宋_GB2312" w:cs="仿宋_GB2312"/>
          <w:color w:val="auto"/>
          <w:sz w:val="32"/>
          <w:szCs w:val="32"/>
        </w:rPr>
        <w:t>万元，同比增长</w:t>
      </w:r>
      <w:r>
        <w:rPr>
          <w:rFonts w:hint="eastAsia" w:ascii="仿宋_GB2312" w:hAnsi="仿宋_GB2312" w:eastAsia="仿宋_GB2312" w:cs="仿宋_GB2312"/>
          <w:color w:val="auto"/>
          <w:sz w:val="32"/>
          <w:szCs w:val="32"/>
          <w:lang w:val="en-US" w:eastAsia="zh-CN"/>
        </w:rPr>
        <w:t>6.73</w:t>
      </w:r>
      <w:r>
        <w:rPr>
          <w:rFonts w:hint="eastAsia" w:ascii="仿宋_GB2312" w:hAnsi="仿宋_GB2312" w:eastAsia="仿宋_GB2312" w:cs="仿宋_GB2312"/>
          <w:color w:val="auto"/>
          <w:sz w:val="32"/>
          <w:szCs w:val="32"/>
        </w:rPr>
        <w:t>%,其中税收收入完成</w:t>
      </w:r>
      <w:r>
        <w:rPr>
          <w:rFonts w:hint="eastAsia" w:ascii="仿宋_GB2312" w:hAnsi="仿宋_GB2312" w:eastAsia="仿宋_GB2312" w:cs="仿宋_GB2312"/>
          <w:color w:val="auto"/>
          <w:sz w:val="32"/>
          <w:szCs w:val="32"/>
          <w:lang w:val="en-US" w:eastAsia="zh-CN"/>
        </w:rPr>
        <w:t>17222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一般公共预算收入</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50.64</w:t>
      </w:r>
      <w:r>
        <w:rPr>
          <w:rFonts w:hint="eastAsia" w:ascii="仿宋_GB2312" w:hAnsi="仿宋_GB2312" w:eastAsia="仿宋_GB2312" w:cs="仿宋_GB2312"/>
          <w:color w:val="auto"/>
          <w:sz w:val="32"/>
          <w:szCs w:val="32"/>
        </w:rPr>
        <w:t>%,非税收入完成</w:t>
      </w:r>
      <w:r>
        <w:rPr>
          <w:rFonts w:hint="eastAsia" w:ascii="仿宋_GB2312" w:hAnsi="仿宋_GB2312" w:eastAsia="仿宋_GB2312" w:cs="仿宋_GB2312"/>
          <w:color w:val="auto"/>
          <w:sz w:val="32"/>
          <w:szCs w:val="32"/>
          <w:lang w:val="en-US" w:eastAsia="zh-CN"/>
        </w:rPr>
        <w:t>16789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一般公共预算收入</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49.36</w:t>
      </w:r>
      <w:r>
        <w:rPr>
          <w:rFonts w:hint="eastAsia" w:ascii="仿宋_GB2312" w:hAnsi="仿宋_GB2312" w:eastAsia="仿宋_GB2312" w:cs="仿宋_GB2312"/>
          <w:color w:val="auto"/>
          <w:sz w:val="32"/>
          <w:szCs w:val="32"/>
        </w:rPr>
        <w:t>%。全年一般公共预算支出</w:t>
      </w:r>
      <w:r>
        <w:rPr>
          <w:rFonts w:hint="eastAsia" w:ascii="仿宋_GB2312" w:hAnsi="仿宋_GB2312" w:eastAsia="仿宋_GB2312" w:cs="仿宋_GB2312"/>
          <w:color w:val="auto"/>
          <w:sz w:val="32"/>
          <w:szCs w:val="32"/>
          <w:lang w:val="en-US" w:eastAsia="zh-CN"/>
        </w:rPr>
        <w:t>191559</w:t>
      </w:r>
      <w:r>
        <w:rPr>
          <w:rFonts w:hint="eastAsia" w:ascii="仿宋_GB2312" w:hAnsi="仿宋_GB2312" w:eastAsia="仿宋_GB2312" w:cs="仿宋_GB2312"/>
          <w:color w:val="auto"/>
          <w:sz w:val="32"/>
          <w:szCs w:val="32"/>
        </w:rPr>
        <w:t>万元，同比</w:t>
      </w:r>
      <w:r>
        <w:rPr>
          <w:rFonts w:hint="eastAsia" w:ascii="仿宋_GB2312" w:hAnsi="仿宋_GB2312" w:eastAsia="仿宋_GB2312" w:cs="仿宋_GB2312"/>
          <w:color w:val="auto"/>
          <w:sz w:val="32"/>
          <w:szCs w:val="32"/>
          <w:lang w:val="en-US" w:eastAsia="zh-CN"/>
        </w:rPr>
        <w:t>增长2.78</w:t>
      </w:r>
      <w:r>
        <w:rPr>
          <w:rFonts w:hint="eastAsia" w:ascii="仿宋_GB2312" w:hAnsi="仿宋_GB2312" w:eastAsia="仿宋_GB2312" w:cs="仿宋_GB2312"/>
          <w:color w:val="auto"/>
          <w:sz w:val="32"/>
          <w:szCs w:val="32"/>
        </w:rPr>
        <w:t>%。</w:t>
      </w:r>
    </w:p>
    <w:p w14:paraId="7988529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highlight w:val="none"/>
        </w:rPr>
        <w:t>金融：</w:t>
      </w:r>
      <w:r>
        <w:rPr>
          <w:rFonts w:hint="eastAsia" w:ascii="仿宋_GB2312" w:hAnsi="仿宋_GB2312" w:eastAsia="仿宋_GB2312" w:cs="仿宋_GB2312"/>
          <w:color w:val="auto"/>
          <w:sz w:val="32"/>
          <w:szCs w:val="32"/>
        </w:rPr>
        <w:t xml:space="preserve">年末全县金融机构各项贷款余额 </w:t>
      </w:r>
      <w:r>
        <w:rPr>
          <w:rFonts w:hint="eastAsia" w:ascii="仿宋_GB2312" w:hAnsi="仿宋_GB2312" w:eastAsia="仿宋_GB2312" w:cs="仿宋_GB2312"/>
          <w:color w:val="auto"/>
          <w:sz w:val="32"/>
          <w:szCs w:val="32"/>
          <w:lang w:val="en-US" w:eastAsia="zh-CN"/>
        </w:rPr>
        <w:t>19.96</w:t>
      </w:r>
      <w:r>
        <w:rPr>
          <w:rFonts w:hint="eastAsia" w:ascii="仿宋_GB2312" w:hAnsi="仿宋_GB2312" w:eastAsia="仿宋_GB2312" w:cs="仿宋_GB2312"/>
          <w:color w:val="auto"/>
          <w:sz w:val="32"/>
          <w:szCs w:val="32"/>
        </w:rPr>
        <w:t>亿元，比年</w:t>
      </w:r>
      <w:r>
        <w:rPr>
          <w:rFonts w:hint="eastAsia" w:ascii="仿宋_GB2312" w:hAnsi="仿宋_GB2312" w:eastAsia="仿宋_GB2312" w:cs="仿宋_GB2312"/>
          <w:color w:val="auto"/>
          <w:sz w:val="32"/>
          <w:szCs w:val="32"/>
          <w:lang w:val="en-US" w:eastAsia="zh-CN"/>
        </w:rPr>
        <w:t>初</w:t>
      </w:r>
      <w:r>
        <w:rPr>
          <w:rFonts w:hint="eastAsia" w:ascii="仿宋_GB2312" w:hAnsi="仿宋_GB2312" w:eastAsia="仿宋_GB2312" w:cs="仿宋_GB2312"/>
          <w:color w:val="auto"/>
          <w:sz w:val="32"/>
          <w:szCs w:val="32"/>
        </w:rPr>
        <w:t>增加</w:t>
      </w:r>
      <w:r>
        <w:rPr>
          <w:rFonts w:hint="eastAsia" w:ascii="仿宋_GB2312" w:hAnsi="仿宋_GB2312" w:eastAsia="仿宋_GB2312" w:cs="仿宋_GB2312"/>
          <w:color w:val="auto"/>
          <w:sz w:val="32"/>
          <w:szCs w:val="32"/>
          <w:lang w:val="en-US" w:eastAsia="zh-CN"/>
        </w:rPr>
        <w:t>20608</w:t>
      </w:r>
      <w:r>
        <w:rPr>
          <w:rFonts w:hint="eastAsia" w:ascii="仿宋_GB2312" w:hAnsi="仿宋_GB2312" w:eastAsia="仿宋_GB2312" w:cs="仿宋_GB2312"/>
          <w:color w:val="auto"/>
          <w:sz w:val="32"/>
          <w:szCs w:val="32"/>
        </w:rPr>
        <w:t xml:space="preserve">万元，同比增长 </w:t>
      </w:r>
      <w:r>
        <w:rPr>
          <w:rFonts w:hint="eastAsia" w:ascii="仿宋_GB2312" w:hAnsi="仿宋_GB2312" w:eastAsia="仿宋_GB2312" w:cs="仿宋_GB2312"/>
          <w:color w:val="auto"/>
          <w:sz w:val="32"/>
          <w:szCs w:val="32"/>
          <w:lang w:val="en-US" w:eastAsia="zh-CN"/>
        </w:rPr>
        <w:t>11.51</w:t>
      </w:r>
      <w:r>
        <w:rPr>
          <w:rFonts w:hint="eastAsia" w:ascii="仿宋_GB2312" w:hAnsi="仿宋_GB2312" w:eastAsia="仿宋_GB2312" w:cs="仿宋_GB2312"/>
          <w:color w:val="auto"/>
          <w:sz w:val="32"/>
          <w:szCs w:val="32"/>
        </w:rPr>
        <w:t>%。各项存款余额</w:t>
      </w:r>
      <w:r>
        <w:rPr>
          <w:rFonts w:hint="eastAsia" w:ascii="仿宋_GB2312" w:hAnsi="仿宋_GB2312" w:eastAsia="仿宋_GB2312" w:cs="仿宋_GB2312"/>
          <w:color w:val="auto"/>
          <w:sz w:val="32"/>
          <w:szCs w:val="32"/>
          <w:lang w:val="en-US" w:eastAsia="zh-CN"/>
        </w:rPr>
        <w:t>25.19</w:t>
      </w:r>
      <w:r>
        <w:rPr>
          <w:rFonts w:hint="eastAsia" w:ascii="仿宋_GB2312" w:hAnsi="仿宋_GB2312" w:eastAsia="仿宋_GB2312" w:cs="仿宋_GB2312"/>
          <w:color w:val="auto"/>
          <w:sz w:val="32"/>
          <w:szCs w:val="32"/>
        </w:rPr>
        <w:t>亿元，比年</w:t>
      </w:r>
      <w:r>
        <w:rPr>
          <w:rFonts w:hint="eastAsia" w:ascii="仿宋_GB2312" w:hAnsi="仿宋_GB2312" w:eastAsia="仿宋_GB2312" w:cs="仿宋_GB2312"/>
          <w:color w:val="auto"/>
          <w:sz w:val="32"/>
          <w:szCs w:val="32"/>
          <w:lang w:val="en-US" w:eastAsia="zh-CN"/>
        </w:rPr>
        <w:t>初增加</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12806</w:t>
      </w:r>
      <w:r>
        <w:rPr>
          <w:rFonts w:hint="eastAsia" w:ascii="仿宋_GB2312" w:hAnsi="仿宋_GB2312" w:eastAsia="仿宋_GB2312" w:cs="仿宋_GB2312"/>
          <w:color w:val="auto"/>
          <w:sz w:val="32"/>
          <w:szCs w:val="32"/>
        </w:rPr>
        <w:t>万元，同比</w:t>
      </w:r>
      <w:r>
        <w:rPr>
          <w:rFonts w:hint="eastAsia" w:ascii="仿宋_GB2312" w:hAnsi="仿宋_GB2312" w:eastAsia="仿宋_GB2312" w:cs="仿宋_GB2312"/>
          <w:color w:val="auto"/>
          <w:sz w:val="32"/>
          <w:szCs w:val="32"/>
          <w:lang w:val="en-US" w:eastAsia="zh-CN"/>
        </w:rPr>
        <w:t>增长5.36</w:t>
      </w:r>
      <w:r>
        <w:rPr>
          <w:rFonts w:hint="eastAsia" w:ascii="仿宋_GB2312" w:hAnsi="仿宋_GB2312" w:eastAsia="仿宋_GB2312" w:cs="仿宋_GB2312"/>
          <w:color w:val="auto"/>
          <w:sz w:val="32"/>
          <w:szCs w:val="32"/>
        </w:rPr>
        <w:t>%。</w:t>
      </w:r>
    </w:p>
    <w:p w14:paraId="6908545F">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保险：</w:t>
      </w:r>
      <w:r>
        <w:rPr>
          <w:rFonts w:hint="eastAsia" w:ascii="仿宋_GB2312" w:hAnsi="仿宋_GB2312" w:eastAsia="仿宋_GB2312" w:cs="仿宋_GB2312"/>
          <w:color w:val="auto"/>
          <w:sz w:val="32"/>
          <w:szCs w:val="32"/>
        </w:rPr>
        <w:t>全年保费收入</w:t>
      </w:r>
      <w:r>
        <w:rPr>
          <w:rFonts w:hint="eastAsia" w:ascii="仿宋_GB2312" w:hAnsi="仿宋_GB2312" w:eastAsia="仿宋_GB2312" w:cs="仿宋_GB2312"/>
          <w:color w:val="auto"/>
          <w:sz w:val="32"/>
          <w:szCs w:val="32"/>
          <w:lang w:val="en-US" w:eastAsia="zh-CN"/>
        </w:rPr>
        <w:t>9383.46</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7%。其中，财产险收入</w:t>
      </w:r>
      <w:r>
        <w:rPr>
          <w:rFonts w:hint="eastAsia" w:ascii="仿宋_GB2312" w:hAnsi="仿宋_GB2312" w:eastAsia="仿宋_GB2312" w:cs="仿宋_GB2312"/>
          <w:color w:val="auto"/>
          <w:sz w:val="32"/>
          <w:szCs w:val="32"/>
          <w:lang w:val="en-US" w:eastAsia="zh-CN"/>
        </w:rPr>
        <w:t>4726.23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3.96</w:t>
      </w:r>
      <w:r>
        <w:rPr>
          <w:rFonts w:hint="eastAsia" w:ascii="仿宋_GB2312" w:hAnsi="仿宋_GB2312" w:eastAsia="仿宋_GB2312" w:cs="仿宋_GB2312"/>
          <w:color w:val="auto"/>
          <w:sz w:val="32"/>
          <w:szCs w:val="32"/>
        </w:rPr>
        <w:t>%;寿险收入</w:t>
      </w:r>
      <w:r>
        <w:rPr>
          <w:rFonts w:hint="eastAsia" w:ascii="仿宋_GB2312" w:hAnsi="仿宋_GB2312" w:eastAsia="仿宋_GB2312" w:cs="仿宋_GB2312"/>
          <w:color w:val="auto"/>
          <w:sz w:val="32"/>
          <w:szCs w:val="32"/>
          <w:lang w:val="en-US" w:eastAsia="zh-CN"/>
        </w:rPr>
        <w:t>4657.22</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同比</w:t>
      </w:r>
      <w:r>
        <w:rPr>
          <w:rFonts w:hint="eastAsia" w:ascii="仿宋_GB2312" w:hAnsi="仿宋_GB2312" w:eastAsia="仿宋_GB2312" w:cs="仿宋_GB2312"/>
          <w:color w:val="auto"/>
          <w:sz w:val="32"/>
          <w:szCs w:val="32"/>
        </w:rPr>
        <w:t>增长</w:t>
      </w:r>
      <w:r>
        <w:rPr>
          <w:rFonts w:hint="eastAsia" w:ascii="仿宋_GB2312" w:hAnsi="仿宋_GB2312" w:eastAsia="仿宋_GB2312" w:cs="仿宋_GB2312"/>
          <w:color w:val="auto"/>
          <w:sz w:val="32"/>
          <w:szCs w:val="32"/>
          <w:lang w:val="en-US" w:eastAsia="zh-CN"/>
        </w:rPr>
        <w:t>3.57</w:t>
      </w:r>
      <w:r>
        <w:rPr>
          <w:rFonts w:hint="eastAsia" w:ascii="仿宋_GB2312" w:hAnsi="仿宋_GB2312" w:eastAsia="仿宋_GB2312" w:cs="仿宋_GB2312"/>
          <w:color w:val="auto"/>
          <w:sz w:val="32"/>
          <w:szCs w:val="32"/>
        </w:rPr>
        <w:t>%。全年赔付支出</w:t>
      </w:r>
      <w:r>
        <w:rPr>
          <w:rFonts w:hint="eastAsia" w:ascii="仿宋_GB2312" w:hAnsi="仿宋_GB2312" w:eastAsia="仿宋_GB2312" w:cs="仿宋_GB2312"/>
          <w:color w:val="auto"/>
          <w:sz w:val="32"/>
          <w:szCs w:val="32"/>
          <w:lang w:val="en-US" w:eastAsia="zh-CN"/>
        </w:rPr>
        <w:t>3564.54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其中，财产险赔付支出</w:t>
      </w:r>
      <w:r>
        <w:rPr>
          <w:rFonts w:hint="eastAsia" w:ascii="仿宋_GB2312" w:hAnsi="仿宋_GB2312" w:eastAsia="仿宋_GB2312" w:cs="仿宋_GB2312"/>
          <w:color w:val="auto"/>
          <w:sz w:val="32"/>
          <w:szCs w:val="32"/>
          <w:lang w:val="en-US" w:eastAsia="zh-CN"/>
        </w:rPr>
        <w:t>2911.86</w:t>
      </w:r>
      <w:r>
        <w:rPr>
          <w:rFonts w:hint="eastAsia" w:ascii="仿宋_GB2312" w:hAnsi="仿宋_GB2312" w:eastAsia="仿宋_GB2312" w:cs="仿宋_GB2312"/>
          <w:color w:val="auto"/>
          <w:sz w:val="32"/>
          <w:szCs w:val="32"/>
        </w:rPr>
        <w:t>万元，寿险赔付支出</w:t>
      </w:r>
      <w:r>
        <w:rPr>
          <w:rFonts w:hint="eastAsia" w:ascii="仿宋_GB2312" w:hAnsi="仿宋_GB2312" w:eastAsia="仿宋_GB2312" w:cs="仿宋_GB2312"/>
          <w:color w:val="auto"/>
          <w:sz w:val="32"/>
          <w:szCs w:val="32"/>
          <w:lang w:val="en-US" w:eastAsia="zh-CN"/>
        </w:rPr>
        <w:t>649.68</w:t>
      </w:r>
      <w:r>
        <w:rPr>
          <w:rFonts w:hint="eastAsia" w:ascii="仿宋_GB2312" w:hAnsi="仿宋_GB2312" w:eastAsia="仿宋_GB2312" w:cs="仿宋_GB2312"/>
          <w:color w:val="auto"/>
          <w:sz w:val="32"/>
          <w:szCs w:val="32"/>
        </w:rPr>
        <w:t>万元。</w:t>
      </w:r>
    </w:p>
    <w:p w14:paraId="4D1CA0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八、科学技术、教育</w:t>
      </w:r>
    </w:p>
    <w:p w14:paraId="775BF5A6">
      <w:pPr>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科学技术：</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年财政科技支出3</w:t>
      </w:r>
      <w:r>
        <w:rPr>
          <w:rFonts w:hint="eastAsia" w:ascii="仿宋_GB2312" w:hAnsi="仿宋_GB2312" w:eastAsia="仿宋_GB2312" w:cs="仿宋_GB2312"/>
          <w:color w:val="auto"/>
          <w:sz w:val="32"/>
          <w:szCs w:val="32"/>
          <w:highlight w:val="none"/>
          <w:lang w:val="en-US" w:eastAsia="zh-CN"/>
        </w:rPr>
        <w:t>627</w:t>
      </w:r>
      <w:r>
        <w:rPr>
          <w:rFonts w:hint="eastAsia" w:ascii="仿宋_GB2312" w:hAnsi="仿宋_GB2312" w:eastAsia="仿宋_GB2312" w:cs="仿宋_GB2312"/>
          <w:color w:val="auto"/>
          <w:sz w:val="32"/>
          <w:szCs w:val="32"/>
          <w:highlight w:val="none"/>
        </w:rPr>
        <w:t>万元，地方财政科技支出占财政支出的比重为1.8</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%；登记技术合同2</w:t>
      </w:r>
      <w:r>
        <w:rPr>
          <w:rFonts w:hint="eastAsia" w:ascii="仿宋_GB2312" w:hAnsi="仿宋_GB2312" w:eastAsia="仿宋_GB2312" w:cs="仿宋_GB2312"/>
          <w:color w:val="auto"/>
          <w:sz w:val="32"/>
          <w:szCs w:val="32"/>
          <w:highlight w:val="none"/>
          <w:lang w:val="en-US" w:eastAsia="zh-CN"/>
        </w:rPr>
        <w:t>1000</w:t>
      </w:r>
      <w:r>
        <w:rPr>
          <w:rFonts w:hint="eastAsia" w:ascii="仿宋_GB2312" w:hAnsi="仿宋_GB2312" w:eastAsia="仿宋_GB2312" w:cs="仿宋_GB2312"/>
          <w:color w:val="auto"/>
          <w:sz w:val="32"/>
          <w:szCs w:val="32"/>
          <w:highlight w:val="none"/>
        </w:rPr>
        <w:t>万元，万人输出技术成交额</w:t>
      </w:r>
      <w:r>
        <w:rPr>
          <w:rFonts w:hint="eastAsia" w:ascii="仿宋_GB2312" w:hAnsi="仿宋_GB2312" w:eastAsia="仿宋_GB2312" w:cs="仿宋_GB2312"/>
          <w:color w:val="auto"/>
          <w:sz w:val="32"/>
          <w:szCs w:val="32"/>
          <w:highlight w:val="none"/>
          <w:lang w:val="en-US" w:eastAsia="zh-CN"/>
        </w:rPr>
        <w:t>7777.78</w:t>
      </w:r>
      <w:r>
        <w:rPr>
          <w:rFonts w:hint="eastAsia" w:ascii="仿宋_GB2312" w:hAnsi="仿宋_GB2312" w:eastAsia="仿宋_GB2312" w:cs="仿宋_GB2312"/>
          <w:color w:val="auto"/>
          <w:sz w:val="32"/>
          <w:szCs w:val="32"/>
          <w:highlight w:val="none"/>
        </w:rPr>
        <w:t>万元。进一步完善“科技型中小企业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省级科技创新型企业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高新技术企业”梯次培育发展体系，不断壮大科技型中小企业群体。年内组织入库科技型中小企业2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家，新认定省级科技创新型企业3家，高新技术企业</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家，重新认定高新技术企业</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家。</w:t>
      </w:r>
    </w:p>
    <w:p w14:paraId="7267DF2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color w:val="auto"/>
        </w:rPr>
      </w:pPr>
      <w:r>
        <w:rPr>
          <w:rFonts w:hint="eastAsia" w:ascii="仿宋_GB2312" w:hAnsi="仿宋_GB2312" w:eastAsia="仿宋_GB2312" w:cs="仿宋_GB2312"/>
          <w:color w:val="auto"/>
          <w:sz w:val="32"/>
          <w:szCs w:val="32"/>
          <w:lang w:val="en-US" w:eastAsia="zh-CN"/>
        </w:rPr>
        <w:t>2024年全年我县授权专利174件，</w:t>
      </w:r>
      <w:r>
        <w:rPr>
          <w:rFonts w:hint="eastAsia" w:ascii="仿宋_GB2312" w:hAnsi="仿宋_GB2312" w:eastAsia="仿宋_GB2312" w:cs="仿宋_GB2312"/>
          <w:color w:val="auto"/>
          <w:sz w:val="32"/>
          <w:szCs w:val="32"/>
        </w:rPr>
        <w:t>万人专利授权量</w:t>
      </w:r>
      <w:r>
        <w:rPr>
          <w:rFonts w:hint="eastAsia" w:ascii="仿宋_GB2312" w:hAnsi="仿宋_GB2312" w:eastAsia="仿宋_GB2312" w:cs="仿宋_GB2312"/>
          <w:color w:val="auto"/>
          <w:sz w:val="32"/>
          <w:szCs w:val="32"/>
          <w:lang w:val="en-US" w:eastAsia="zh-CN"/>
        </w:rPr>
        <w:t>64.44</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其中，发明专利4件、实用新型专利139件、外</w:t>
      </w:r>
      <w:r>
        <w:rPr>
          <w:rFonts w:hint="eastAsia" w:ascii="仿宋_GB2312" w:hAnsi="仿宋_GB2312" w:eastAsia="仿宋_GB2312" w:cs="仿宋_GB2312"/>
          <w:color w:val="auto"/>
          <w:spacing w:val="-11"/>
          <w:sz w:val="32"/>
          <w:szCs w:val="32"/>
          <w:lang w:val="en-US" w:eastAsia="zh-CN"/>
        </w:rPr>
        <w:t>观设计专利31件，涉及企业26户、事业单位9户、个人7人。</w:t>
      </w:r>
    </w:p>
    <w:p w14:paraId="7F28273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color w:val="auto"/>
          <w:highlight w:val="none"/>
          <w:lang w:val="en-US" w:eastAsia="zh-CN"/>
        </w:rPr>
      </w:pPr>
      <w:r>
        <w:rPr>
          <w:rFonts w:hint="eastAsia" w:ascii="仿宋_GB2312" w:hAnsi="仿宋_GB2312" w:eastAsia="仿宋_GB2312" w:cs="仿宋_GB2312"/>
          <w:b/>
          <w:bCs/>
          <w:color w:val="auto"/>
          <w:sz w:val="32"/>
          <w:szCs w:val="32"/>
          <w:highlight w:val="none"/>
        </w:rPr>
        <w:t>教育：</w:t>
      </w:r>
      <w:r>
        <w:rPr>
          <w:rFonts w:hint="eastAsia" w:ascii="仿宋_GB2312" w:hAnsi="仿宋_GB2312" w:eastAsia="仿宋_GB2312" w:cs="仿宋_GB2312"/>
          <w:color w:val="auto"/>
          <w:sz w:val="32"/>
          <w:szCs w:val="32"/>
        </w:rPr>
        <w:t>全县现有各级各类学校</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所，其中</w:t>
      </w:r>
      <w:r>
        <w:rPr>
          <w:rFonts w:hint="eastAsia" w:ascii="仿宋_GB2312" w:hAnsi="仿宋_GB2312" w:eastAsia="仿宋_GB2312" w:cs="仿宋_GB2312"/>
          <w:color w:val="auto"/>
          <w:sz w:val="32"/>
          <w:szCs w:val="32"/>
          <w:lang w:val="en-US" w:eastAsia="zh-CN"/>
        </w:rPr>
        <w:t>中等职业学校1所、普通高中</w:t>
      </w:r>
      <w:r>
        <w:rPr>
          <w:rFonts w:hint="eastAsia" w:ascii="仿宋_GB2312" w:hAnsi="仿宋_GB2312" w:eastAsia="仿宋_GB2312" w:cs="仿宋_GB2312"/>
          <w:color w:val="auto"/>
          <w:sz w:val="32"/>
          <w:szCs w:val="32"/>
        </w:rPr>
        <w:t>1所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初级中学1所、</w:t>
      </w:r>
      <w:r>
        <w:rPr>
          <w:rFonts w:hint="eastAsia" w:ascii="仿宋_GB2312" w:hAnsi="仿宋_GB2312" w:eastAsia="仿宋_GB2312" w:cs="仿宋_GB2312"/>
          <w:color w:val="auto"/>
          <w:sz w:val="32"/>
          <w:szCs w:val="32"/>
        </w:rPr>
        <w:t>九年一贯制学校4所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城镇小学1所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乡村小学2所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城镇幼儿园1所、乡镇幼儿园5所、村幼儿园</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所。在校学生</w:t>
      </w:r>
      <w:r>
        <w:rPr>
          <w:rFonts w:hint="eastAsia" w:ascii="仿宋_GB2312" w:hAnsi="仿宋_GB2312" w:eastAsia="仿宋_GB2312" w:cs="仿宋_GB2312"/>
          <w:color w:val="auto"/>
          <w:sz w:val="32"/>
          <w:szCs w:val="32"/>
          <w:lang w:val="en-US" w:eastAsia="zh-CN"/>
        </w:rPr>
        <w:t>2871</w:t>
      </w:r>
      <w:r>
        <w:rPr>
          <w:rFonts w:hint="eastAsia" w:ascii="仿宋_GB2312" w:hAnsi="仿宋_GB2312" w:eastAsia="仿宋_GB2312" w:cs="仿宋_GB2312"/>
          <w:color w:val="auto"/>
          <w:sz w:val="32"/>
          <w:szCs w:val="32"/>
        </w:rPr>
        <w:t>名，其中</w:t>
      </w:r>
      <w:r>
        <w:rPr>
          <w:rFonts w:hint="eastAsia" w:ascii="仿宋_GB2312" w:hAnsi="仿宋_GB2312" w:eastAsia="仿宋_GB2312" w:cs="仿宋_GB2312"/>
          <w:color w:val="auto"/>
          <w:sz w:val="32"/>
          <w:szCs w:val="32"/>
          <w:lang w:val="en-US" w:eastAsia="zh-CN"/>
        </w:rPr>
        <w:t>中职生99人、高中生372人、初中生577人、小学生1243人、在园幼儿580人(</w:t>
      </w:r>
      <w:r>
        <w:rPr>
          <w:rFonts w:hint="eastAsia" w:ascii="仿宋_GB2312" w:hAnsi="仿宋_GB2312" w:eastAsia="仿宋_GB2312" w:cs="仿宋_GB2312"/>
          <w:color w:val="auto"/>
          <w:sz w:val="32"/>
          <w:szCs w:val="32"/>
        </w:rPr>
        <w:t>托幼班</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9人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。在岗教职工</w:t>
      </w:r>
      <w:r>
        <w:rPr>
          <w:rFonts w:hint="eastAsia" w:ascii="仿宋_GB2312" w:hAnsi="仿宋_GB2312" w:eastAsia="仿宋_GB2312" w:cs="仿宋_GB2312"/>
          <w:color w:val="auto"/>
          <w:sz w:val="32"/>
          <w:szCs w:val="32"/>
          <w:lang w:val="en-US" w:eastAsia="zh-CN"/>
        </w:rPr>
        <w:t>544</w:t>
      </w:r>
      <w:r>
        <w:rPr>
          <w:rFonts w:hint="eastAsia" w:ascii="仿宋_GB2312" w:hAnsi="仿宋_GB2312" w:eastAsia="仿宋_GB2312" w:cs="仿宋_GB2312"/>
          <w:color w:val="auto"/>
          <w:sz w:val="32"/>
          <w:szCs w:val="32"/>
        </w:rPr>
        <w:t>名，其中专任教师</w:t>
      </w:r>
      <w:r>
        <w:rPr>
          <w:rFonts w:hint="eastAsia" w:ascii="仿宋_GB2312" w:hAnsi="仿宋_GB2312" w:eastAsia="仿宋_GB2312" w:cs="仿宋_GB2312"/>
          <w:color w:val="auto"/>
          <w:sz w:val="32"/>
          <w:szCs w:val="32"/>
          <w:lang w:val="en-US" w:eastAsia="zh-CN"/>
        </w:rPr>
        <w:t>421</w:t>
      </w:r>
      <w:r>
        <w:rPr>
          <w:rFonts w:hint="eastAsia" w:ascii="仿宋_GB2312" w:hAnsi="仿宋_GB2312" w:eastAsia="仿宋_GB2312" w:cs="仿宋_GB2312"/>
          <w:color w:val="auto"/>
          <w:sz w:val="32"/>
          <w:szCs w:val="32"/>
        </w:rPr>
        <w:t>名。全县一般公共</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rPr>
        <w:t>教育经费支出13</w:t>
      </w:r>
      <w:r>
        <w:rPr>
          <w:rFonts w:hint="eastAsia" w:ascii="仿宋_GB2312" w:hAnsi="仿宋_GB2312" w:eastAsia="仿宋_GB2312" w:cs="仿宋_GB2312"/>
          <w:color w:val="auto"/>
          <w:sz w:val="32"/>
          <w:szCs w:val="32"/>
          <w:lang w:val="en-US" w:eastAsia="zh-CN"/>
        </w:rPr>
        <w:t>468</w:t>
      </w:r>
      <w:r>
        <w:rPr>
          <w:rFonts w:hint="eastAsia" w:ascii="仿宋_GB2312" w:hAnsi="仿宋_GB2312" w:eastAsia="仿宋_GB2312" w:cs="仿宋_GB2312"/>
          <w:color w:val="auto"/>
          <w:sz w:val="32"/>
          <w:szCs w:val="32"/>
        </w:rPr>
        <w:t>万元，财政教育支出“两个只增不减”全面落实。学前三年毛</w:t>
      </w:r>
      <w:r>
        <w:rPr>
          <w:rFonts w:hint="eastAsia" w:ascii="仿宋_GB2312" w:hAnsi="仿宋_GB2312" w:eastAsia="仿宋_GB2312" w:cs="仿宋_GB2312"/>
          <w:color w:val="auto"/>
          <w:sz w:val="32"/>
          <w:szCs w:val="32"/>
          <w:lang w:val="en-US" w:eastAsia="zh-CN"/>
        </w:rPr>
        <w:t>入</w:t>
      </w:r>
      <w:r>
        <w:rPr>
          <w:rFonts w:hint="eastAsia" w:ascii="仿宋_GB2312" w:hAnsi="仿宋_GB2312" w:eastAsia="仿宋_GB2312" w:cs="仿宋_GB2312"/>
          <w:color w:val="auto"/>
          <w:sz w:val="32"/>
          <w:szCs w:val="32"/>
        </w:rPr>
        <w:t>园率99.08%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学前教育普及惠率、公办幼儿园覆盖率均为100%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九年义务教育巩固率100%,高中阶段毛入学率97.82%。2024年全县参加高考251人，录取248人，总录取率达98.8%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于全市平均水平。其中，本科录取216人，录取率86.06%。一本录取153人，录取率60.96%,较上年增加11.33%。肃南一中参加高考122人，录取122人，总录取率100%。其中，本科录取109人，录取率89.34%。一本录取63人，录取率51.64%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较上年增加24.34%。 </w:t>
      </w:r>
    </w:p>
    <w:p w14:paraId="32988DF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九、文化、卫生和体育</w:t>
      </w:r>
    </w:p>
    <w:p w14:paraId="6ADFFA26">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jc w:val="both"/>
        <w:textAlignment w:val="auto"/>
        <w:rPr>
          <w:rFonts w:hint="eastAsia" w:ascii="仿宋_GB2312" w:hAnsi="Times New Roman" w:eastAsia="仿宋_GB2312" w:cs="宋体"/>
          <w:color w:val="auto"/>
          <w:kern w:val="2"/>
          <w:sz w:val="32"/>
          <w:szCs w:val="32"/>
          <w:highlight w:val="none"/>
          <w:lang w:val="en-US" w:eastAsia="zh-CN" w:bidi="ar-SA"/>
        </w:rPr>
      </w:pPr>
      <w:r>
        <w:rPr>
          <w:rFonts w:hint="eastAsia" w:ascii="仿宋_GB2312" w:hAnsi="Times New Roman" w:eastAsia="仿宋_GB2312" w:cs="宋体"/>
          <w:b/>
          <w:bCs/>
          <w:color w:val="auto"/>
          <w:kern w:val="2"/>
          <w:sz w:val="32"/>
          <w:szCs w:val="32"/>
          <w:highlight w:val="none"/>
          <w:lang w:val="en-US" w:eastAsia="zh-CN" w:bidi="ar-SA"/>
        </w:rPr>
        <w:t>文化：</w:t>
      </w:r>
      <w:r>
        <w:rPr>
          <w:rFonts w:hint="eastAsia" w:ascii="仿宋_GB2312" w:hAnsi="Times New Roman" w:eastAsia="仿宋_GB2312" w:cs="宋体"/>
          <w:color w:val="auto"/>
          <w:kern w:val="2"/>
          <w:sz w:val="32"/>
          <w:szCs w:val="32"/>
          <w:highlight w:val="none"/>
          <w:lang w:val="en-US" w:eastAsia="zh-CN" w:bidi="ar-SA"/>
        </w:rPr>
        <w:t>全县现有艺术表演团体1个、文化馆1个、图书馆1个、博物馆1个、纪念馆1个、档案馆1个，建成行政村综合文化服务中心94个、村文化活动广场45个、文化信息资源共享工程基层服务点109个、农家书屋122个、农村数字电影固定放映点4处、城镇社区综合文化服务中心3个、农村数字电影放映队8个，8个乡镇政府所在地和农牧村均开通有线广播电视网络，广播电视覆盖率达到100%，各类文化服务场所全部免费对公众开放。</w:t>
      </w:r>
    </w:p>
    <w:p w14:paraId="7C0E2CD7">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Times New Roman" w:eastAsia="仿宋_GB2312" w:cs="宋体"/>
          <w:color w:val="auto"/>
          <w:kern w:val="2"/>
          <w:sz w:val="32"/>
          <w:szCs w:val="32"/>
          <w:highlight w:val="none"/>
          <w:lang w:val="en-US" w:eastAsia="zh-CN" w:bidi="ar-SA"/>
        </w:rPr>
      </w:pPr>
      <w:r>
        <w:rPr>
          <w:rFonts w:hint="eastAsia" w:ascii="仿宋_GB2312" w:hAnsi="Times New Roman" w:eastAsia="仿宋_GB2312" w:cs="宋体"/>
          <w:color w:val="auto"/>
          <w:kern w:val="2"/>
          <w:sz w:val="32"/>
          <w:szCs w:val="32"/>
          <w:highlight w:val="none"/>
          <w:lang w:val="en-US" w:eastAsia="zh-CN" w:bidi="ar-SA"/>
        </w:rPr>
        <w:t>落实中央非遗保护资金91万元，省级非遗保护资金10万元，省级非遗工坊补助资金3万元。筹措资金64万元，完成我县首个以沉浸式剧目方式演绎民族传统文化的体验项目—《裕固族婚礼》。举办裕固族民歌、传统手工技艺培训班5期。完成全县非遗资源普查田野调查工作，积极组织申报国家级文化生态保护区。全县1人被文化和旅游部授予“全国非物质文化遗产保护工作先进个人”称号，1人入选第六批国家级非物质文化遗产代表性传承人推荐人选名单，裕固族顶杠子公布为甘肃省第五批省级非物质文化遗产代表性项目名录，肃南喀尔喀蒙古族银器打造技艺、东纳藏族婚俗公布为第五批张掖市非物质文化遗产代表性项目名录。1人被公布为国家第一批乡村工匠名师，2人被公布为甘肃省第二批乡村工匠名师，5人被公布为甘肃省第二批乡村工匠。10余名非遗代表性传承人在甘肃省民歌大赛、金张掖乡村特色文化传承人评选活动中获得殊荣。</w:t>
      </w:r>
    </w:p>
    <w:p w14:paraId="596A747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Times New Roman" w:eastAsia="仿宋_GB2312" w:cs="宋体"/>
          <w:color w:val="auto"/>
          <w:kern w:val="2"/>
          <w:sz w:val="32"/>
          <w:szCs w:val="32"/>
          <w:highlight w:val="none"/>
          <w:lang w:val="en-US" w:eastAsia="zh-CN" w:bidi="ar-SA"/>
        </w:rPr>
      </w:pPr>
      <w:r>
        <w:rPr>
          <w:rFonts w:hint="eastAsia" w:ascii="仿宋_GB2312" w:hAnsi="Times New Roman" w:eastAsia="仿宋_GB2312" w:cs="宋体"/>
          <w:color w:val="auto"/>
          <w:kern w:val="2"/>
          <w:sz w:val="32"/>
          <w:szCs w:val="32"/>
          <w:highlight w:val="none"/>
          <w:lang w:val="en-US" w:eastAsia="zh-CN" w:bidi="ar-SA"/>
        </w:rPr>
        <w:t xml:space="preserve">积极推进马蹄生态文化旅游区创建国家5A级旅游景区工作进程，累计投资1.28亿元，先后实施游客服务中心、道路提升改造、景区内部观光配套设施改造、供水排污、景区河道治理、旅游厕所、标识导览系统、智慧景区服务设施建设等项目，景区旅游品质得到全面提质升级。成功获批2024年旅游支持乡村振兴专项资金120万元，康乐镇榆木庄民宿被评为国家乙级旅游民宿，大河乡巴尔斯·山野民宿被评为国家丙级旅游民宿，申报大河乡贺朗格家民宿为国家丙级民宿。2024年评定命名市级专业旅游村2个（马蹄乡大都麻村、皇城镇北极村）。 </w:t>
      </w:r>
    </w:p>
    <w:p w14:paraId="7357289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color w:val="auto"/>
        </w:rPr>
      </w:pPr>
      <w:r>
        <w:rPr>
          <w:rFonts w:hint="eastAsia" w:ascii="仿宋_GB2312" w:hAnsi="仿宋_GB2312" w:eastAsia="仿宋_GB2312" w:cs="仿宋_GB2312"/>
          <w:b/>
          <w:bCs/>
          <w:color w:val="auto"/>
          <w:sz w:val="32"/>
          <w:szCs w:val="32"/>
          <w:highlight w:val="none"/>
        </w:rPr>
        <w:t>卫生：</w:t>
      </w:r>
      <w:r>
        <w:rPr>
          <w:rFonts w:hint="eastAsia" w:ascii="仿宋_GB2312" w:hAnsi="仿宋_GB2312" w:eastAsia="仿宋_GB2312" w:cs="仿宋_GB2312"/>
          <w:color w:val="auto"/>
          <w:sz w:val="32"/>
          <w:szCs w:val="32"/>
          <w:highlight w:val="none"/>
        </w:rPr>
        <w:t>全县现有医疗卫生机构</w:t>
      </w:r>
      <w:r>
        <w:rPr>
          <w:rFonts w:hint="default" w:ascii="仿宋_GB2312" w:hAnsi="仿宋_GB2312" w:eastAsia="仿宋_GB2312" w:cs="仿宋_GB2312"/>
          <w:color w:val="auto"/>
          <w:sz w:val="32"/>
          <w:szCs w:val="32"/>
          <w:highlight w:val="none"/>
        </w:rPr>
        <w:t>43</w:t>
      </w:r>
      <w:r>
        <w:rPr>
          <w:rFonts w:hint="eastAsia" w:ascii="仿宋_GB2312" w:hAnsi="仿宋_GB2312" w:eastAsia="仿宋_GB2312" w:cs="仿宋_GB2312"/>
          <w:color w:val="auto"/>
          <w:sz w:val="32"/>
          <w:szCs w:val="32"/>
          <w:highlight w:val="none"/>
        </w:rPr>
        <w:t>个，其中县级医疗卫生机构4个、社区卫生服务中心1个、乡镇中心卫生院7个、乡镇卫生分院1个、村卫生室30个。核定编制床位404张，实有床位25</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张。现有专业技术人员</w:t>
      </w:r>
      <w:r>
        <w:rPr>
          <w:rFonts w:hint="default" w:ascii="仿宋_GB2312" w:hAnsi="仿宋_GB2312" w:eastAsia="仿宋_GB2312" w:cs="仿宋_GB2312"/>
          <w:color w:val="auto"/>
          <w:sz w:val="32"/>
          <w:szCs w:val="32"/>
          <w:highlight w:val="none"/>
        </w:rPr>
        <w:t>282</w:t>
      </w:r>
      <w:r>
        <w:rPr>
          <w:rFonts w:hint="eastAsia" w:ascii="仿宋_GB2312" w:hAnsi="仿宋_GB2312" w:eastAsia="仿宋_GB2312" w:cs="仿宋_GB2312"/>
          <w:color w:val="auto"/>
          <w:sz w:val="32"/>
          <w:szCs w:val="32"/>
          <w:highlight w:val="none"/>
        </w:rPr>
        <w:t>名，助理及执业医师</w:t>
      </w:r>
      <w:r>
        <w:rPr>
          <w:rFonts w:hint="default" w:ascii="仿宋_GB2312" w:hAnsi="仿宋_GB2312" w:eastAsia="仿宋_GB2312" w:cs="仿宋_GB2312"/>
          <w:color w:val="auto"/>
          <w:sz w:val="32"/>
          <w:szCs w:val="32"/>
          <w:highlight w:val="none"/>
        </w:rPr>
        <w:t>129</w:t>
      </w:r>
      <w:r>
        <w:rPr>
          <w:rFonts w:hint="eastAsia" w:ascii="仿宋_GB2312" w:hAnsi="仿宋_GB2312" w:eastAsia="仿宋_GB2312" w:cs="仿宋_GB2312"/>
          <w:color w:val="auto"/>
          <w:sz w:val="32"/>
          <w:szCs w:val="32"/>
          <w:highlight w:val="none"/>
        </w:rPr>
        <w:t>名，占36.9%；医技类</w:t>
      </w:r>
      <w:r>
        <w:rPr>
          <w:rFonts w:hint="default" w:ascii="仿宋_GB2312" w:hAnsi="仿宋_GB2312" w:eastAsia="仿宋_GB2312" w:cs="仿宋_GB2312"/>
          <w:color w:val="auto"/>
          <w:sz w:val="32"/>
          <w:szCs w:val="32"/>
          <w:highlight w:val="none"/>
        </w:rPr>
        <w:t>22</w:t>
      </w:r>
      <w:r>
        <w:rPr>
          <w:rFonts w:hint="eastAsia" w:ascii="仿宋_GB2312" w:hAnsi="仿宋_GB2312" w:eastAsia="仿宋_GB2312" w:cs="仿宋_GB2312"/>
          <w:color w:val="auto"/>
          <w:sz w:val="32"/>
          <w:szCs w:val="32"/>
          <w:highlight w:val="none"/>
        </w:rPr>
        <w:t>名，占10.9%，药技类</w:t>
      </w:r>
      <w:r>
        <w:rPr>
          <w:rFonts w:hint="default"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rPr>
        <w:t>名，占3%；护士8</w:t>
      </w:r>
      <w:r>
        <w:rPr>
          <w:rFonts w:hint="default"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名，占28.4%。正高7名，副高3</w:t>
      </w:r>
      <w:r>
        <w:rPr>
          <w:rFonts w:hint="default"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名，中级</w:t>
      </w:r>
      <w:r>
        <w:rPr>
          <w:rFonts w:hint="default" w:ascii="仿宋_GB2312" w:hAnsi="仿宋_GB2312" w:eastAsia="仿宋_GB2312" w:cs="仿宋_GB2312"/>
          <w:color w:val="auto"/>
          <w:sz w:val="32"/>
          <w:szCs w:val="32"/>
          <w:highlight w:val="none"/>
        </w:rPr>
        <w:t>64</w:t>
      </w:r>
      <w:r>
        <w:rPr>
          <w:rFonts w:hint="eastAsia" w:ascii="仿宋_GB2312" w:hAnsi="仿宋_GB2312" w:eastAsia="仿宋_GB2312" w:cs="仿宋_GB2312"/>
          <w:color w:val="auto"/>
          <w:sz w:val="32"/>
          <w:szCs w:val="32"/>
          <w:highlight w:val="none"/>
        </w:rPr>
        <w:t>名，初级17</w:t>
      </w:r>
      <w:r>
        <w:rPr>
          <w:rFonts w:hint="default"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rPr>
        <w:t>名。</w:t>
      </w:r>
    </w:p>
    <w:p w14:paraId="1B0CADB1">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体育：</w:t>
      </w:r>
      <w:r>
        <w:rPr>
          <w:rFonts w:hint="eastAsia" w:ascii="仿宋_GB2312" w:hAnsi="仿宋_GB2312" w:eastAsia="仿宋_GB2312" w:cs="仿宋_GB2312"/>
          <w:b/>
          <w:bCs/>
          <w:color w:val="auto"/>
          <w:sz w:val="32"/>
          <w:szCs w:val="32"/>
          <w:lang w:val="en-US" w:eastAsia="zh-CN"/>
        </w:rPr>
        <w:t>体育基础设施建设方面，</w:t>
      </w:r>
      <w:r>
        <w:rPr>
          <w:rFonts w:hint="eastAsia" w:ascii="仿宋_GB2312" w:hAnsi="仿宋_GB2312" w:eastAsia="仿宋_GB2312" w:cs="仿宋_GB2312"/>
          <w:b w:val="0"/>
          <w:bCs w:val="0"/>
          <w:color w:val="auto"/>
          <w:sz w:val="32"/>
          <w:szCs w:val="32"/>
          <w:lang w:val="en-US" w:eastAsia="zh-CN"/>
        </w:rPr>
        <w:t>投资1200余万元，完成索朗格赛马场基础设施提升改造任务；投资200万元，完成肃南县民族风情线体育公园建设任务；投资25万元，完成肃南县群众滑冰场建设任务；投资20万元，完成肃南县红湾寺镇裕兴社区多功能运动场建设任务；</w:t>
      </w:r>
      <w:r>
        <w:rPr>
          <w:rFonts w:hint="eastAsia" w:ascii="仿宋_GB2312" w:hAnsi="仿宋_GB2312" w:eastAsia="仿宋_GB2312" w:cs="仿宋_GB2312"/>
          <w:color w:val="auto"/>
          <w:sz w:val="32"/>
          <w:szCs w:val="32"/>
          <w:highlight w:val="none"/>
          <w:lang w:eastAsia="zh-CN"/>
        </w:rPr>
        <w:t>截至202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年底，</w:t>
      </w:r>
      <w:r>
        <w:rPr>
          <w:rFonts w:hint="eastAsia" w:ascii="仿宋_GB2312" w:eastAsia="仿宋_GB2312"/>
          <w:color w:val="auto"/>
          <w:sz w:val="32"/>
          <w:szCs w:val="32"/>
        </w:rPr>
        <w:t>全县人均体育场地面积达到</w:t>
      </w:r>
      <w:r>
        <w:rPr>
          <w:rFonts w:hint="eastAsia" w:ascii="仿宋_GB2312" w:eastAsia="仿宋_GB2312"/>
          <w:color w:val="auto"/>
          <w:sz w:val="32"/>
          <w:szCs w:val="32"/>
          <w:lang w:val="en-US" w:eastAsia="zh-CN"/>
        </w:rPr>
        <w:t>12.46</w:t>
      </w:r>
      <w:r>
        <w:rPr>
          <w:rFonts w:hint="eastAsia" w:ascii="仿宋_GB2312" w:eastAsia="仿宋_GB2312"/>
          <w:color w:val="auto"/>
          <w:sz w:val="32"/>
          <w:szCs w:val="32"/>
        </w:rPr>
        <w:t>平方米，</w:t>
      </w:r>
      <w:r>
        <w:rPr>
          <w:rFonts w:hint="eastAsia" w:ascii="仿宋_GB2312" w:hAnsi="仿宋_GB2312" w:eastAsia="仿宋_GB2312" w:cs="仿宋_GB2312"/>
          <w:color w:val="auto"/>
          <w:sz w:val="32"/>
          <w:szCs w:val="32"/>
          <w:highlight w:val="none"/>
        </w:rPr>
        <w:t>已</w:t>
      </w:r>
      <w:r>
        <w:rPr>
          <w:rFonts w:hint="eastAsia" w:ascii="仿宋_GB2312" w:hAnsi="仿宋_GB2312" w:eastAsia="仿宋_GB2312" w:cs="仿宋_GB2312"/>
          <w:color w:val="auto"/>
          <w:sz w:val="32"/>
          <w:szCs w:val="32"/>
          <w:highlight w:val="none"/>
          <w:lang w:val="en-US" w:eastAsia="zh-CN"/>
        </w:rPr>
        <w:t>基本</w:t>
      </w:r>
      <w:r>
        <w:rPr>
          <w:rFonts w:hint="eastAsia" w:ascii="仿宋_GB2312" w:hAnsi="仿宋_GB2312" w:eastAsia="仿宋_GB2312" w:cs="仿宋_GB2312"/>
          <w:color w:val="auto"/>
          <w:sz w:val="32"/>
          <w:szCs w:val="32"/>
          <w:highlight w:val="none"/>
        </w:rPr>
        <w:t>建成“15分钟全民健身圈”。</w:t>
      </w:r>
      <w:r>
        <w:rPr>
          <w:rFonts w:hint="eastAsia" w:ascii="仿宋_GB2312" w:eastAsia="仿宋_GB2312"/>
          <w:b/>
          <w:bCs/>
          <w:color w:val="auto"/>
          <w:sz w:val="32"/>
          <w:szCs w:val="32"/>
          <w:lang w:val="en-US" w:eastAsia="zh-CN"/>
        </w:rPr>
        <w:t>群众体育方面，</w:t>
      </w:r>
      <w:r>
        <w:rPr>
          <w:rFonts w:hint="eastAsia" w:ascii="仿宋_GB2312" w:eastAsia="仿宋_GB2312"/>
          <w:color w:val="auto"/>
          <w:sz w:val="32"/>
          <w:szCs w:val="32"/>
          <w:lang w:val="en-US" w:eastAsia="zh-CN"/>
        </w:rPr>
        <w:t>持续举办2024年“奔跑吧</w:t>
      </w:r>
      <w:r>
        <w:rPr>
          <w:rFonts w:hint="eastAsia" w:ascii="微软雅黑" w:hAnsi="微软雅黑" w:eastAsia="微软雅黑" w:cs="微软雅黑"/>
          <w:color w:val="auto"/>
          <w:sz w:val="32"/>
          <w:szCs w:val="32"/>
          <w:lang w:val="en-US" w:eastAsia="zh-CN"/>
        </w:rPr>
        <w:t>·</w:t>
      </w:r>
      <w:r>
        <w:rPr>
          <w:rFonts w:hint="eastAsia" w:ascii="仿宋_GB2312" w:eastAsia="仿宋_GB2312"/>
          <w:color w:val="auto"/>
          <w:sz w:val="32"/>
          <w:szCs w:val="32"/>
          <w:lang w:val="en-US" w:eastAsia="zh-CN"/>
        </w:rPr>
        <w:t>少年”肃南县儿童青少年主题健身活动暨“庆元旦”“中国体育彩票”全民健康跑活动、“闹元宵”趣味运动会暨拔河比赛、“全民健身日”系列活动、社区老年人运动会；</w:t>
      </w:r>
      <w:r>
        <w:rPr>
          <w:rFonts w:hint="eastAsia" w:ascii="仿宋_GB2312" w:hAnsi="仿宋_GB2312" w:eastAsia="仿宋_GB2312" w:cs="仿宋_GB2312"/>
          <w:color w:val="auto"/>
          <w:sz w:val="32"/>
          <w:szCs w:val="32"/>
          <w:lang w:val="en-US" w:eastAsia="zh-CN"/>
        </w:rPr>
        <w:t>举办</w:t>
      </w:r>
      <w:r>
        <w:rPr>
          <w:rFonts w:hint="eastAsia" w:ascii="仿宋_GB2312" w:hAnsi="仿宋_GB2312" w:eastAsia="仿宋_GB2312" w:cs="仿宋_GB2312"/>
          <w:b w:val="0"/>
          <w:bCs w:val="0"/>
          <w:color w:val="auto"/>
          <w:sz w:val="32"/>
          <w:szCs w:val="32"/>
          <w:lang w:val="en-US" w:eastAsia="zh-CN"/>
        </w:rPr>
        <w:t>张掖市全民健身排球邀请赛。</w:t>
      </w:r>
      <w:r>
        <w:rPr>
          <w:rFonts w:hint="eastAsia" w:ascii="仿宋_GB2312" w:eastAsia="仿宋_GB2312"/>
          <w:b/>
          <w:bCs/>
          <w:color w:val="auto"/>
          <w:sz w:val="32"/>
          <w:szCs w:val="32"/>
          <w:lang w:val="en-US" w:eastAsia="zh-CN"/>
        </w:rPr>
        <w:t>传统体育方面，</w:t>
      </w:r>
      <w:r>
        <w:rPr>
          <w:rFonts w:hint="eastAsia" w:ascii="仿宋_GB2312" w:hAnsi="仿宋_GB2312" w:eastAsia="仿宋_GB2312" w:cs="仿宋_GB2312"/>
          <w:b w:val="0"/>
          <w:bCs w:val="0"/>
          <w:color w:val="auto"/>
          <w:sz w:val="32"/>
          <w:szCs w:val="32"/>
          <w:lang w:val="en-US" w:eastAsia="zh-CN"/>
        </w:rPr>
        <w:t>举办庆祝肃南裕固族自治县成立70周年中国丝路大赛马肃南裕固族自治县赛马大会暨肃南县第十三届少数民族传统体育运动会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期</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lang w:val="en-US" w:eastAsia="zh-CN"/>
        </w:rPr>
        <w:t>协同市委统战部、民宗委、体育局举办张掖市第一届民族民间运动会。</w:t>
      </w:r>
      <w:r>
        <w:rPr>
          <w:rFonts w:hint="eastAsia" w:ascii="仿宋_GB2312" w:hAnsi="仿宋_GB2312" w:eastAsia="仿宋_GB2312" w:cs="仿宋_GB2312"/>
          <w:b/>
          <w:bCs/>
          <w:color w:val="auto"/>
          <w:sz w:val="32"/>
          <w:szCs w:val="32"/>
          <w:lang w:val="en-US" w:eastAsia="zh-CN"/>
        </w:rPr>
        <w:t>户外体育方面，</w:t>
      </w:r>
      <w:r>
        <w:rPr>
          <w:rFonts w:hint="eastAsia" w:ascii="仿宋_GB2312" w:hAnsi="仿宋_GB2312" w:eastAsia="仿宋_GB2312" w:cs="仿宋_GB2312"/>
          <w:color w:val="auto"/>
          <w:sz w:val="32"/>
          <w:szCs w:val="32"/>
          <w:lang w:val="en-US" w:eastAsia="zh-CN"/>
        </w:rPr>
        <w:t>协同甘肃省航空运动协会举办巴尔斯雪山</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甘肃省滑翔伞精英赛张掖肃南站比赛。协调省市各类户外运动企业举办</w:t>
      </w:r>
      <w:r>
        <w:rPr>
          <w:rFonts w:hint="eastAsia" w:ascii="仿宋_GB2312" w:hAnsi="仿宋_GB2312" w:eastAsia="仿宋_GB2312" w:cs="仿宋_GB2312"/>
          <w:color w:val="auto"/>
          <w:sz w:val="32"/>
          <w:szCs w:val="32"/>
        </w:rPr>
        <w:t>第七届国际商学院丝域挑战赛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“神骑裕固”肃南裕固风情走廊山地自行车赛暨露营骑游活动等省、市知名户外赛事活动。</w:t>
      </w:r>
      <w:r>
        <w:rPr>
          <w:rFonts w:hint="eastAsia" w:ascii="仿宋_GB2312" w:hAnsi="仿宋_GB2312" w:eastAsia="仿宋_GB2312" w:cs="仿宋_GB2312"/>
          <w:b/>
          <w:bCs/>
          <w:color w:val="auto"/>
          <w:sz w:val="32"/>
          <w:szCs w:val="32"/>
          <w:lang w:val="en-US" w:eastAsia="zh-CN"/>
        </w:rPr>
        <w:t>青少年体育方面，</w:t>
      </w:r>
      <w:r>
        <w:rPr>
          <w:rFonts w:hint="eastAsia" w:ascii="仿宋_GB2312" w:hAnsi="仿宋_GB2312" w:eastAsia="仿宋_GB2312" w:cs="仿宋_GB2312"/>
          <w:color w:val="auto"/>
          <w:sz w:val="32"/>
          <w:szCs w:val="32"/>
          <w:lang w:val="en-US" w:eastAsia="zh-CN"/>
        </w:rPr>
        <w:t>举办“奔跑吧</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少年”暨“阳光体育”张掖市青少年排球锦标赛。全年累计开展各类赛事活动40余场次，全县</w:t>
      </w:r>
      <w:r>
        <w:rPr>
          <w:rFonts w:hint="eastAsia" w:ascii="仿宋_GB2312" w:hAnsi="仿宋_GB2312" w:eastAsia="仿宋_GB2312" w:cs="仿宋_GB2312"/>
          <w:color w:val="auto"/>
          <w:sz w:val="32"/>
          <w:szCs w:val="32"/>
          <w:lang w:eastAsia="zh-CN"/>
        </w:rPr>
        <w:t>经常参加体育锻炼的人口比例</w:t>
      </w:r>
      <w:r>
        <w:rPr>
          <w:rFonts w:hint="eastAsia" w:ascii="仿宋_GB2312" w:hAnsi="仿宋_GB2312" w:eastAsia="仿宋_GB2312" w:cs="仿宋_GB2312"/>
          <w:color w:val="auto"/>
          <w:sz w:val="32"/>
          <w:szCs w:val="32"/>
          <w:lang w:val="en-US" w:eastAsia="zh-CN"/>
        </w:rPr>
        <w:t>达40.2％。</w:t>
      </w:r>
    </w:p>
    <w:p w14:paraId="363CC6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十、人口、人民生活和社会保障</w:t>
      </w:r>
    </w:p>
    <w:p w14:paraId="3CBE1A62">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left"/>
        <w:textAlignment w:val="auto"/>
        <w:rPr>
          <w:rFonts w:hint="eastAsia" w:eastAsia="仿宋_GB2312"/>
          <w:color w:val="auto"/>
          <w:lang w:val="en-US" w:eastAsia="zh-CN"/>
        </w:rPr>
      </w:pPr>
      <w:r>
        <w:rPr>
          <w:rFonts w:hint="eastAsia" w:ascii="仿宋_GB2312" w:hAnsi="仿宋_GB2312" w:eastAsia="仿宋_GB2312" w:cs="仿宋_GB2312"/>
          <w:b/>
          <w:bCs/>
          <w:color w:val="auto"/>
          <w:sz w:val="32"/>
          <w:szCs w:val="32"/>
          <w:highlight w:val="none"/>
        </w:rPr>
        <w:t>人口：</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年末全县户籍人口</w:t>
      </w:r>
      <w:bookmarkStart w:id="2" w:name="OLE_LINK5"/>
      <w:r>
        <w:rPr>
          <w:rFonts w:hint="eastAsia" w:ascii="仿宋_GB2312" w:hAnsi="仿宋_GB2312" w:eastAsia="仿宋_GB2312" w:cs="仿宋_GB2312"/>
          <w:color w:val="auto"/>
          <w:sz w:val="32"/>
          <w:szCs w:val="32"/>
          <w:highlight w:val="none"/>
        </w:rPr>
        <w:t>148</w:t>
      </w:r>
      <w:bookmarkEnd w:id="2"/>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户</w:t>
      </w:r>
      <w:bookmarkStart w:id="3" w:name="OLE_LINK6"/>
      <w:r>
        <w:rPr>
          <w:rFonts w:hint="eastAsia" w:ascii="仿宋_GB2312" w:hAnsi="仿宋_GB2312" w:eastAsia="仿宋_GB2312" w:cs="仿宋_GB2312"/>
          <w:color w:val="auto"/>
          <w:sz w:val="32"/>
          <w:szCs w:val="32"/>
          <w:highlight w:val="none"/>
        </w:rPr>
        <w:t>39</w:t>
      </w:r>
      <w:bookmarkEnd w:id="3"/>
      <w:r>
        <w:rPr>
          <w:rFonts w:hint="eastAsia" w:ascii="仿宋_GB2312" w:hAnsi="仿宋_GB2312" w:eastAsia="仿宋_GB2312" w:cs="仿宋_GB2312"/>
          <w:color w:val="auto"/>
          <w:sz w:val="32"/>
          <w:szCs w:val="32"/>
          <w:highlight w:val="none"/>
          <w:lang w:val="en-US" w:eastAsia="zh-CN"/>
        </w:rPr>
        <w:t>507</w:t>
      </w:r>
      <w:r>
        <w:rPr>
          <w:rFonts w:hint="eastAsia" w:ascii="仿宋_GB2312" w:hAnsi="仿宋_GB2312" w:eastAsia="仿宋_GB2312" w:cs="仿宋_GB2312"/>
          <w:color w:val="auto"/>
          <w:sz w:val="32"/>
          <w:szCs w:val="32"/>
          <w:highlight w:val="none"/>
        </w:rPr>
        <w:t>人，户数比上年</w:t>
      </w:r>
      <w:r>
        <w:rPr>
          <w:rFonts w:hint="eastAsia" w:ascii="仿宋_GB2312" w:hAnsi="仿宋_GB2312" w:eastAsia="仿宋_GB2312" w:cs="仿宋_GB2312"/>
          <w:color w:val="auto"/>
          <w:sz w:val="32"/>
          <w:szCs w:val="32"/>
          <w:highlight w:val="none"/>
          <w:lang w:val="en-US" w:eastAsia="zh-CN"/>
        </w:rPr>
        <w:t>增加16</w:t>
      </w:r>
      <w:r>
        <w:rPr>
          <w:rFonts w:hint="eastAsia" w:ascii="仿宋_GB2312" w:hAnsi="仿宋_GB2312" w:eastAsia="仿宋_GB2312" w:cs="仿宋_GB2312"/>
          <w:color w:val="auto"/>
          <w:sz w:val="32"/>
          <w:szCs w:val="32"/>
          <w:highlight w:val="none"/>
        </w:rPr>
        <w:t>户，人口比上年</w:t>
      </w:r>
      <w:r>
        <w:rPr>
          <w:rFonts w:hint="eastAsia" w:ascii="仿宋_GB2312" w:hAnsi="仿宋_GB2312" w:eastAsia="仿宋_GB2312" w:cs="仿宋_GB2312"/>
          <w:color w:val="auto"/>
          <w:sz w:val="32"/>
          <w:szCs w:val="32"/>
          <w:highlight w:val="none"/>
          <w:lang w:val="en-US" w:eastAsia="zh-CN"/>
        </w:rPr>
        <w:t>增加114</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户均人口2.7人。按民族分，少数民族人口22</w:t>
      </w:r>
      <w:r>
        <w:rPr>
          <w:rFonts w:hint="eastAsia" w:ascii="仿宋_GB2312" w:hAnsi="仿宋_GB2312" w:eastAsia="仿宋_GB2312" w:cs="仿宋_GB2312"/>
          <w:color w:val="auto"/>
          <w:sz w:val="32"/>
          <w:szCs w:val="32"/>
          <w:highlight w:val="none"/>
          <w:lang w:val="en-US" w:eastAsia="zh-CN"/>
        </w:rPr>
        <w:t>769</w:t>
      </w:r>
      <w:r>
        <w:rPr>
          <w:rFonts w:hint="eastAsia" w:ascii="仿宋_GB2312" w:hAnsi="仿宋_GB2312" w:eastAsia="仿宋_GB2312" w:cs="仿宋_GB2312"/>
          <w:color w:val="auto"/>
          <w:sz w:val="32"/>
          <w:szCs w:val="32"/>
          <w:highlight w:val="none"/>
        </w:rPr>
        <w:t>人，占总人口</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57.</w:t>
      </w: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%，其中裕固族人口107</w:t>
      </w:r>
      <w:r>
        <w:rPr>
          <w:rFonts w:hint="eastAsia" w:ascii="仿宋_GB2312" w:hAnsi="仿宋_GB2312" w:eastAsia="仿宋_GB2312" w:cs="仿宋_GB2312"/>
          <w:color w:val="auto"/>
          <w:sz w:val="32"/>
          <w:szCs w:val="32"/>
          <w:highlight w:val="none"/>
          <w:lang w:val="en-US" w:eastAsia="zh-CN"/>
        </w:rPr>
        <w:t>63</w:t>
      </w:r>
      <w:r>
        <w:rPr>
          <w:rFonts w:hint="eastAsia" w:ascii="仿宋_GB2312" w:hAnsi="仿宋_GB2312" w:eastAsia="仿宋_GB2312" w:cs="仿宋_GB2312"/>
          <w:color w:val="auto"/>
          <w:sz w:val="32"/>
          <w:szCs w:val="32"/>
          <w:highlight w:val="none"/>
        </w:rPr>
        <w:t>人，占总人口的27.2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%；藏族人口103</w:t>
      </w:r>
      <w:r>
        <w:rPr>
          <w:rFonts w:hint="eastAsia" w:ascii="仿宋_GB2312" w:hAnsi="仿宋_GB2312" w:eastAsia="仿宋_GB2312" w:cs="仿宋_GB2312"/>
          <w:color w:val="auto"/>
          <w:sz w:val="32"/>
          <w:szCs w:val="32"/>
          <w:highlight w:val="none"/>
          <w:lang w:val="en-US" w:eastAsia="zh-CN"/>
        </w:rPr>
        <w:t>95</w:t>
      </w:r>
      <w:r>
        <w:rPr>
          <w:rFonts w:hint="eastAsia" w:ascii="仿宋_GB2312" w:hAnsi="仿宋_GB2312" w:eastAsia="仿宋_GB2312" w:cs="仿宋_GB2312"/>
          <w:color w:val="auto"/>
          <w:sz w:val="32"/>
          <w:szCs w:val="32"/>
          <w:highlight w:val="none"/>
        </w:rPr>
        <w:t>人，占总人口的26.3%；汉族人口167</w:t>
      </w:r>
      <w:r>
        <w:rPr>
          <w:rFonts w:hint="eastAsia" w:ascii="仿宋_GB2312" w:hAnsi="仿宋_GB2312" w:eastAsia="仿宋_GB2312" w:cs="仿宋_GB2312"/>
          <w:color w:val="auto"/>
          <w:sz w:val="32"/>
          <w:szCs w:val="32"/>
          <w:highlight w:val="none"/>
          <w:lang w:val="en-US" w:eastAsia="zh-CN"/>
        </w:rPr>
        <w:t>38</w:t>
      </w:r>
      <w:r>
        <w:rPr>
          <w:rFonts w:hint="eastAsia" w:ascii="仿宋_GB2312" w:hAnsi="仿宋_GB2312" w:eastAsia="仿宋_GB2312" w:cs="仿宋_GB2312"/>
          <w:color w:val="auto"/>
          <w:sz w:val="32"/>
          <w:szCs w:val="32"/>
          <w:highlight w:val="none"/>
        </w:rPr>
        <w:t>人，占总人口的42.</w:t>
      </w: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%。按性别分，男性人口</w:t>
      </w:r>
      <w:r>
        <w:rPr>
          <w:rFonts w:hint="eastAsia" w:ascii="仿宋_GB2312" w:hAnsi="仿宋_GB2312" w:eastAsia="仿宋_GB2312" w:cs="仿宋_GB2312"/>
          <w:color w:val="auto"/>
          <w:sz w:val="32"/>
          <w:szCs w:val="32"/>
          <w:highlight w:val="none"/>
          <w:lang w:val="en-US" w:eastAsia="zh-CN"/>
        </w:rPr>
        <w:t>19458</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val="en-US" w:eastAsia="zh-CN"/>
        </w:rPr>
        <w:t>占</w:t>
      </w:r>
      <w:r>
        <w:rPr>
          <w:rFonts w:hint="eastAsia" w:ascii="仿宋_GB2312" w:hAnsi="仿宋_GB2312" w:eastAsia="仿宋_GB2312" w:cs="仿宋_GB2312"/>
          <w:color w:val="auto"/>
          <w:sz w:val="32"/>
          <w:szCs w:val="32"/>
          <w:highlight w:val="none"/>
        </w:rPr>
        <w:t>49.</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%；女性人口</w:t>
      </w:r>
      <w:r>
        <w:rPr>
          <w:rFonts w:hint="eastAsia" w:ascii="仿宋_GB2312" w:hAnsi="仿宋_GB2312" w:eastAsia="仿宋_GB2312" w:cs="仿宋_GB2312"/>
          <w:color w:val="auto"/>
          <w:sz w:val="32"/>
          <w:szCs w:val="32"/>
          <w:highlight w:val="none"/>
          <w:lang w:val="en-US" w:eastAsia="zh-CN"/>
        </w:rPr>
        <w:t>20049</w:t>
      </w:r>
      <w:r>
        <w:rPr>
          <w:rFonts w:hint="eastAsia" w:ascii="仿宋_GB2312" w:hAnsi="仿宋_GB2312" w:eastAsia="仿宋_GB2312" w:cs="仿宋_GB2312"/>
          <w:color w:val="auto"/>
          <w:sz w:val="32"/>
          <w:szCs w:val="32"/>
          <w:highlight w:val="none"/>
        </w:rPr>
        <w:t>人，占50.7</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%。人口密度为每平方公里1.65人。年末常住人口2.</w:t>
      </w: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rPr>
        <w:t>万人，其中城镇人口1.</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万人，城镇人口比重4</w:t>
      </w:r>
      <w:r>
        <w:rPr>
          <w:rFonts w:hint="eastAsia" w:ascii="仿宋_GB2312" w:hAnsi="仿宋_GB2312" w:eastAsia="仿宋_GB2312" w:cs="仿宋_GB2312"/>
          <w:color w:val="auto"/>
          <w:sz w:val="32"/>
          <w:szCs w:val="32"/>
          <w:highlight w:val="none"/>
          <w:lang w:val="en-US" w:eastAsia="zh-CN"/>
        </w:rPr>
        <w:t>3.11</w:t>
      </w:r>
      <w:r>
        <w:rPr>
          <w:rFonts w:hint="eastAsia" w:ascii="仿宋_GB2312" w:hAnsi="仿宋_GB2312" w:eastAsia="仿宋_GB2312" w:cs="仿宋_GB2312"/>
          <w:color w:val="auto"/>
          <w:sz w:val="32"/>
          <w:szCs w:val="32"/>
          <w:highlight w:val="none"/>
        </w:rPr>
        <w:t>%，农村人口</w:t>
      </w:r>
      <w:r>
        <w:rPr>
          <w:rFonts w:hint="eastAsia" w:ascii="仿宋_GB2312" w:hAnsi="仿宋_GB2312" w:eastAsia="仿宋_GB2312" w:cs="仿宋_GB2312"/>
          <w:color w:val="auto"/>
          <w:sz w:val="32"/>
          <w:szCs w:val="32"/>
          <w:highlight w:val="none"/>
          <w:lang w:val="en-US" w:eastAsia="zh-CN"/>
        </w:rPr>
        <w:t>1.53</w:t>
      </w:r>
      <w:r>
        <w:rPr>
          <w:rFonts w:hint="eastAsia" w:ascii="仿宋_GB2312" w:hAnsi="仿宋_GB2312" w:eastAsia="仿宋_GB2312" w:cs="仿宋_GB2312"/>
          <w:color w:val="auto"/>
          <w:sz w:val="32"/>
          <w:szCs w:val="32"/>
          <w:highlight w:val="none"/>
        </w:rPr>
        <w:t>万人</w:t>
      </w:r>
      <w:r>
        <w:rPr>
          <w:rFonts w:hint="eastAsia" w:ascii="仿宋_GB2312" w:hAnsi="仿宋_GB2312" w:eastAsia="仿宋_GB2312" w:cs="仿宋_GB2312"/>
          <w:color w:val="auto"/>
          <w:sz w:val="32"/>
          <w:szCs w:val="32"/>
          <w:highlight w:val="none"/>
          <w:lang w:eastAsia="zh-CN"/>
        </w:rPr>
        <w:t>。</w:t>
      </w:r>
    </w:p>
    <w:p w14:paraId="544D6E4F">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tbl>
      <w:tblPr>
        <w:tblStyle w:val="8"/>
        <w:tblW w:w="8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58"/>
        <w:gridCol w:w="2156"/>
        <w:gridCol w:w="2246"/>
      </w:tblGrid>
      <w:tr w14:paraId="05BE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60" w:type="dxa"/>
            <w:gridSpan w:val="3"/>
            <w:tcBorders>
              <w:top w:val="nil"/>
              <w:left w:val="nil"/>
              <w:bottom w:val="nil"/>
              <w:right w:val="nil"/>
            </w:tcBorders>
            <w:shd w:val="clear" w:color="auto" w:fill="auto"/>
            <w:noWrap/>
            <w:vAlign w:val="center"/>
          </w:tcPr>
          <w:p w14:paraId="2A828A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表5  2024年肃南县户籍人口及其构成</w:t>
            </w:r>
          </w:p>
        </w:tc>
      </w:tr>
      <w:tr w14:paraId="3B1B3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60" w:type="dxa"/>
            <w:gridSpan w:val="3"/>
            <w:tcBorders>
              <w:top w:val="nil"/>
              <w:left w:val="nil"/>
              <w:bottom w:val="nil"/>
              <w:right w:val="nil"/>
            </w:tcBorders>
            <w:shd w:val="clear" w:color="auto" w:fill="auto"/>
            <w:vAlign w:val="center"/>
          </w:tcPr>
          <w:p w14:paraId="58A80A9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单位：人 %</w:t>
            </w:r>
          </w:p>
        </w:tc>
      </w:tr>
      <w:tr w14:paraId="757BD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single" w:color="000000" w:sz="4" w:space="0"/>
              <w:left w:val="nil"/>
              <w:bottom w:val="nil"/>
              <w:right w:val="single" w:color="000000" w:sz="4" w:space="0"/>
            </w:tcBorders>
            <w:shd w:val="clear" w:color="auto" w:fill="auto"/>
            <w:noWrap/>
            <w:vAlign w:val="center"/>
          </w:tcPr>
          <w:p w14:paraId="416E05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w:t>
            </w:r>
          </w:p>
        </w:tc>
        <w:tc>
          <w:tcPr>
            <w:tcW w:w="2156" w:type="dxa"/>
            <w:tcBorders>
              <w:top w:val="single" w:color="000000" w:sz="4" w:space="0"/>
              <w:left w:val="nil"/>
              <w:bottom w:val="nil"/>
              <w:right w:val="single" w:color="000000" w:sz="4" w:space="0"/>
            </w:tcBorders>
            <w:shd w:val="clear" w:color="auto" w:fill="auto"/>
            <w:noWrap/>
            <w:vAlign w:val="center"/>
          </w:tcPr>
          <w:p w14:paraId="2F39C1F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年末数</w:t>
            </w:r>
          </w:p>
        </w:tc>
        <w:tc>
          <w:tcPr>
            <w:tcW w:w="2246" w:type="dxa"/>
            <w:tcBorders>
              <w:top w:val="single" w:color="000000" w:sz="4" w:space="0"/>
              <w:left w:val="nil"/>
              <w:bottom w:val="nil"/>
              <w:right w:val="nil"/>
            </w:tcBorders>
            <w:shd w:val="clear" w:color="auto" w:fill="auto"/>
            <w:noWrap/>
            <w:vAlign w:val="center"/>
          </w:tcPr>
          <w:p w14:paraId="7BE3B83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比重</w:t>
            </w:r>
          </w:p>
        </w:tc>
      </w:tr>
      <w:tr w14:paraId="6583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3958" w:type="dxa"/>
            <w:tcBorders>
              <w:top w:val="single" w:color="000000" w:sz="4" w:space="0"/>
              <w:left w:val="nil"/>
              <w:bottom w:val="nil"/>
              <w:right w:val="single" w:color="000000" w:sz="4" w:space="0"/>
            </w:tcBorders>
            <w:shd w:val="clear" w:color="auto" w:fill="auto"/>
            <w:noWrap/>
            <w:vAlign w:val="center"/>
          </w:tcPr>
          <w:p w14:paraId="144DE3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户数</w:t>
            </w:r>
          </w:p>
        </w:tc>
        <w:tc>
          <w:tcPr>
            <w:tcW w:w="2156" w:type="dxa"/>
            <w:tcBorders>
              <w:top w:val="single" w:color="000000" w:sz="4" w:space="0"/>
              <w:left w:val="nil"/>
              <w:bottom w:val="nil"/>
              <w:right w:val="single" w:color="000000" w:sz="4" w:space="0"/>
            </w:tcBorders>
            <w:shd w:val="clear" w:color="auto" w:fill="auto"/>
            <w:noWrap/>
            <w:vAlign w:val="center"/>
          </w:tcPr>
          <w:p w14:paraId="0FEAC68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14816</w:t>
            </w:r>
          </w:p>
        </w:tc>
        <w:tc>
          <w:tcPr>
            <w:tcW w:w="2246" w:type="dxa"/>
            <w:tcBorders>
              <w:top w:val="single" w:color="000000" w:sz="4" w:space="0"/>
              <w:left w:val="nil"/>
              <w:bottom w:val="nil"/>
              <w:right w:val="nil"/>
            </w:tcBorders>
            <w:shd w:val="clear" w:color="auto" w:fill="auto"/>
            <w:noWrap/>
            <w:vAlign w:val="center"/>
          </w:tcPr>
          <w:p w14:paraId="45003175">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800"/>
              <w:jc w:val="both"/>
              <w:textAlignment w:val="center"/>
              <w:rPr>
                <w:rFonts w:hint="eastAsia" w:ascii="微软雅黑" w:hAnsi="微软雅黑" w:eastAsia="微软雅黑" w:cs="微软雅黑"/>
                <w:i w:val="0"/>
                <w:iCs w:val="0"/>
                <w:color w:val="auto"/>
                <w:sz w:val="24"/>
                <w:szCs w:val="24"/>
                <w:u w:val="none"/>
                <w:lang w:val="en-US" w:eastAsia="zh-CN"/>
              </w:rPr>
            </w:pPr>
            <w:r>
              <w:rPr>
                <w:rFonts w:hint="eastAsia" w:ascii="微软雅黑" w:hAnsi="微软雅黑" w:eastAsia="微软雅黑" w:cs="微软雅黑"/>
                <w:i w:val="0"/>
                <w:iCs w:val="0"/>
                <w:color w:val="auto"/>
                <w:sz w:val="24"/>
                <w:szCs w:val="24"/>
                <w:u w:val="none"/>
                <w:lang w:val="en-US" w:eastAsia="zh-CN"/>
              </w:rPr>
              <w:t>-</w:t>
            </w:r>
          </w:p>
        </w:tc>
      </w:tr>
      <w:tr w14:paraId="2964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6802E6F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人数</w:t>
            </w:r>
          </w:p>
        </w:tc>
        <w:tc>
          <w:tcPr>
            <w:tcW w:w="2156" w:type="dxa"/>
            <w:tcBorders>
              <w:top w:val="nil"/>
              <w:left w:val="nil"/>
              <w:bottom w:val="nil"/>
              <w:right w:val="single" w:color="000000" w:sz="4" w:space="0"/>
            </w:tcBorders>
            <w:shd w:val="clear" w:color="auto" w:fill="auto"/>
            <w:noWrap/>
            <w:vAlign w:val="center"/>
          </w:tcPr>
          <w:p w14:paraId="0539B3A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39507</w:t>
            </w:r>
          </w:p>
        </w:tc>
        <w:tc>
          <w:tcPr>
            <w:tcW w:w="2246" w:type="dxa"/>
            <w:tcBorders>
              <w:top w:val="nil"/>
              <w:left w:val="nil"/>
              <w:bottom w:val="nil"/>
              <w:right w:val="nil"/>
            </w:tcBorders>
            <w:shd w:val="clear" w:color="auto" w:fill="auto"/>
            <w:noWrap/>
            <w:vAlign w:val="center"/>
          </w:tcPr>
          <w:p w14:paraId="4E650223">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r>
      <w:tr w14:paraId="1F0F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7B5B6B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其中：男性</w:t>
            </w:r>
          </w:p>
        </w:tc>
        <w:tc>
          <w:tcPr>
            <w:tcW w:w="2156" w:type="dxa"/>
            <w:tcBorders>
              <w:top w:val="nil"/>
              <w:left w:val="nil"/>
              <w:bottom w:val="nil"/>
              <w:right w:val="single" w:color="000000" w:sz="4" w:space="0"/>
            </w:tcBorders>
            <w:shd w:val="clear" w:color="auto" w:fill="auto"/>
            <w:noWrap/>
            <w:vAlign w:val="center"/>
          </w:tcPr>
          <w:p w14:paraId="7B0438F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19458</w:t>
            </w:r>
          </w:p>
        </w:tc>
        <w:tc>
          <w:tcPr>
            <w:tcW w:w="2246" w:type="dxa"/>
            <w:tcBorders>
              <w:top w:val="nil"/>
              <w:left w:val="nil"/>
              <w:bottom w:val="nil"/>
              <w:right w:val="nil"/>
            </w:tcBorders>
            <w:shd w:val="clear" w:color="auto" w:fill="auto"/>
            <w:noWrap/>
            <w:vAlign w:val="center"/>
          </w:tcPr>
          <w:p w14:paraId="7336386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49.25</w:t>
            </w:r>
          </w:p>
        </w:tc>
      </w:tr>
      <w:tr w14:paraId="4F31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05E92C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女性</w:t>
            </w:r>
          </w:p>
        </w:tc>
        <w:tc>
          <w:tcPr>
            <w:tcW w:w="2156" w:type="dxa"/>
            <w:tcBorders>
              <w:top w:val="nil"/>
              <w:left w:val="nil"/>
              <w:bottom w:val="nil"/>
              <w:right w:val="single" w:color="000000" w:sz="4" w:space="0"/>
            </w:tcBorders>
            <w:shd w:val="clear" w:color="auto" w:fill="auto"/>
            <w:noWrap/>
            <w:vAlign w:val="center"/>
          </w:tcPr>
          <w:p w14:paraId="7551601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20049</w:t>
            </w:r>
          </w:p>
        </w:tc>
        <w:tc>
          <w:tcPr>
            <w:tcW w:w="2246" w:type="dxa"/>
            <w:tcBorders>
              <w:top w:val="nil"/>
              <w:left w:val="nil"/>
              <w:bottom w:val="nil"/>
              <w:right w:val="nil"/>
            </w:tcBorders>
            <w:shd w:val="clear" w:color="auto" w:fill="auto"/>
            <w:noWrap/>
            <w:vAlign w:val="center"/>
          </w:tcPr>
          <w:p w14:paraId="6AAD7397">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50.75</w:t>
            </w:r>
          </w:p>
        </w:tc>
      </w:tr>
      <w:tr w14:paraId="5A87F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67791B9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其中：0-17岁</w:t>
            </w:r>
          </w:p>
        </w:tc>
        <w:tc>
          <w:tcPr>
            <w:tcW w:w="2156" w:type="dxa"/>
            <w:tcBorders>
              <w:top w:val="nil"/>
              <w:left w:val="nil"/>
              <w:bottom w:val="nil"/>
              <w:right w:val="single" w:color="000000" w:sz="4" w:space="0"/>
            </w:tcBorders>
            <w:shd w:val="clear" w:color="auto" w:fill="auto"/>
            <w:noWrap/>
            <w:vAlign w:val="center"/>
          </w:tcPr>
          <w:p w14:paraId="436EB1D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5862</w:t>
            </w:r>
          </w:p>
        </w:tc>
        <w:tc>
          <w:tcPr>
            <w:tcW w:w="2246" w:type="dxa"/>
            <w:tcBorders>
              <w:top w:val="nil"/>
              <w:left w:val="nil"/>
              <w:bottom w:val="nil"/>
              <w:right w:val="nil"/>
            </w:tcBorders>
            <w:shd w:val="clear" w:color="auto" w:fill="auto"/>
            <w:noWrap/>
            <w:vAlign w:val="center"/>
          </w:tcPr>
          <w:p w14:paraId="60AFCD3D">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14.84</w:t>
            </w:r>
          </w:p>
        </w:tc>
      </w:tr>
      <w:tr w14:paraId="1BE4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36BEA3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18-34岁</w:t>
            </w:r>
          </w:p>
        </w:tc>
        <w:tc>
          <w:tcPr>
            <w:tcW w:w="2156" w:type="dxa"/>
            <w:tcBorders>
              <w:top w:val="nil"/>
              <w:left w:val="nil"/>
              <w:bottom w:val="nil"/>
              <w:right w:val="single" w:color="000000" w:sz="4" w:space="0"/>
            </w:tcBorders>
            <w:shd w:val="clear" w:color="auto" w:fill="auto"/>
            <w:noWrap/>
            <w:vAlign w:val="center"/>
          </w:tcPr>
          <w:p w14:paraId="0F3B5CD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7463</w:t>
            </w:r>
          </w:p>
        </w:tc>
        <w:tc>
          <w:tcPr>
            <w:tcW w:w="2246" w:type="dxa"/>
            <w:tcBorders>
              <w:top w:val="nil"/>
              <w:left w:val="nil"/>
              <w:bottom w:val="nil"/>
              <w:right w:val="nil"/>
            </w:tcBorders>
            <w:shd w:val="clear" w:color="auto" w:fill="auto"/>
            <w:noWrap/>
            <w:vAlign w:val="center"/>
          </w:tcPr>
          <w:p w14:paraId="0977B721">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18.89</w:t>
            </w:r>
          </w:p>
        </w:tc>
      </w:tr>
      <w:tr w14:paraId="5F12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170BB32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35-59岁</w:t>
            </w:r>
          </w:p>
        </w:tc>
        <w:tc>
          <w:tcPr>
            <w:tcW w:w="2156" w:type="dxa"/>
            <w:tcBorders>
              <w:top w:val="nil"/>
              <w:left w:val="nil"/>
              <w:bottom w:val="nil"/>
              <w:right w:val="single" w:color="000000" w:sz="4" w:space="0"/>
            </w:tcBorders>
            <w:shd w:val="clear" w:color="auto" w:fill="auto"/>
            <w:noWrap/>
            <w:vAlign w:val="center"/>
          </w:tcPr>
          <w:p w14:paraId="02DB6FE9">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17510</w:t>
            </w:r>
          </w:p>
        </w:tc>
        <w:tc>
          <w:tcPr>
            <w:tcW w:w="2246" w:type="dxa"/>
            <w:tcBorders>
              <w:top w:val="nil"/>
              <w:left w:val="nil"/>
              <w:bottom w:val="nil"/>
              <w:right w:val="nil"/>
            </w:tcBorders>
            <w:shd w:val="clear" w:color="auto" w:fill="auto"/>
            <w:noWrap/>
            <w:vAlign w:val="center"/>
          </w:tcPr>
          <w:p w14:paraId="54B0763E">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44.32</w:t>
            </w:r>
          </w:p>
        </w:tc>
      </w:tr>
      <w:tr w14:paraId="78B08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4548A6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  60岁及以上</w:t>
            </w:r>
          </w:p>
        </w:tc>
        <w:tc>
          <w:tcPr>
            <w:tcW w:w="2156" w:type="dxa"/>
            <w:tcBorders>
              <w:top w:val="nil"/>
              <w:left w:val="nil"/>
              <w:bottom w:val="nil"/>
              <w:right w:val="single" w:color="000000" w:sz="4" w:space="0"/>
            </w:tcBorders>
            <w:shd w:val="clear" w:color="auto" w:fill="auto"/>
            <w:noWrap/>
            <w:vAlign w:val="center"/>
          </w:tcPr>
          <w:p w14:paraId="56FEF35B">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8672</w:t>
            </w:r>
          </w:p>
        </w:tc>
        <w:tc>
          <w:tcPr>
            <w:tcW w:w="2246" w:type="dxa"/>
            <w:tcBorders>
              <w:top w:val="nil"/>
              <w:left w:val="nil"/>
              <w:bottom w:val="nil"/>
              <w:right w:val="nil"/>
            </w:tcBorders>
            <w:shd w:val="clear" w:color="auto" w:fill="auto"/>
            <w:noWrap/>
            <w:vAlign w:val="center"/>
          </w:tcPr>
          <w:p w14:paraId="1ECB8D83">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21.95</w:t>
            </w:r>
          </w:p>
        </w:tc>
      </w:tr>
      <w:tr w14:paraId="4110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nil"/>
              <w:right w:val="single" w:color="000000" w:sz="4" w:space="0"/>
            </w:tcBorders>
            <w:shd w:val="clear" w:color="auto" w:fill="auto"/>
            <w:noWrap/>
            <w:vAlign w:val="center"/>
          </w:tcPr>
          <w:p w14:paraId="48CBD1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汉族</w:t>
            </w:r>
          </w:p>
        </w:tc>
        <w:tc>
          <w:tcPr>
            <w:tcW w:w="2156" w:type="dxa"/>
            <w:tcBorders>
              <w:top w:val="nil"/>
              <w:left w:val="nil"/>
              <w:bottom w:val="nil"/>
              <w:right w:val="single" w:color="000000" w:sz="4" w:space="0"/>
            </w:tcBorders>
            <w:shd w:val="clear" w:color="auto" w:fill="auto"/>
            <w:noWrap/>
            <w:vAlign w:val="center"/>
          </w:tcPr>
          <w:p w14:paraId="1F17470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16738</w:t>
            </w:r>
          </w:p>
        </w:tc>
        <w:tc>
          <w:tcPr>
            <w:tcW w:w="2246" w:type="dxa"/>
            <w:tcBorders>
              <w:top w:val="nil"/>
              <w:left w:val="nil"/>
              <w:bottom w:val="nil"/>
              <w:right w:val="nil"/>
            </w:tcBorders>
            <w:shd w:val="clear" w:color="auto" w:fill="auto"/>
            <w:noWrap/>
            <w:vAlign w:val="center"/>
          </w:tcPr>
          <w:p w14:paraId="18C71106">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42.37</w:t>
            </w:r>
          </w:p>
        </w:tc>
      </w:tr>
      <w:tr w14:paraId="007F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58" w:type="dxa"/>
            <w:tcBorders>
              <w:top w:val="nil"/>
              <w:left w:val="nil"/>
              <w:bottom w:val="single" w:color="000000" w:sz="4" w:space="0"/>
              <w:right w:val="single" w:color="000000" w:sz="4" w:space="0"/>
            </w:tcBorders>
            <w:shd w:val="clear" w:color="auto" w:fill="auto"/>
            <w:noWrap/>
            <w:vAlign w:val="center"/>
          </w:tcPr>
          <w:p w14:paraId="3C31DC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少数民族</w:t>
            </w:r>
          </w:p>
        </w:tc>
        <w:tc>
          <w:tcPr>
            <w:tcW w:w="2156" w:type="dxa"/>
            <w:tcBorders>
              <w:top w:val="nil"/>
              <w:left w:val="nil"/>
              <w:bottom w:val="single" w:color="000000" w:sz="4" w:space="0"/>
              <w:right w:val="single" w:color="000000" w:sz="4" w:space="0"/>
            </w:tcBorders>
            <w:shd w:val="clear" w:color="auto" w:fill="auto"/>
            <w:noWrap/>
            <w:vAlign w:val="center"/>
          </w:tcPr>
          <w:p w14:paraId="0B36278C">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22769</w:t>
            </w:r>
          </w:p>
        </w:tc>
        <w:tc>
          <w:tcPr>
            <w:tcW w:w="2246" w:type="dxa"/>
            <w:tcBorders>
              <w:top w:val="nil"/>
              <w:left w:val="nil"/>
              <w:bottom w:val="single" w:color="000000" w:sz="4" w:space="0"/>
              <w:right w:val="nil"/>
            </w:tcBorders>
            <w:shd w:val="clear" w:color="auto" w:fill="auto"/>
            <w:noWrap/>
            <w:vAlign w:val="center"/>
          </w:tcPr>
          <w:p w14:paraId="0F3767CA">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57.63</w:t>
            </w:r>
          </w:p>
        </w:tc>
      </w:tr>
    </w:tbl>
    <w:p w14:paraId="79CD78A6">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b/>
          <w:bCs/>
          <w:color w:val="auto"/>
          <w:sz w:val="32"/>
          <w:szCs w:val="32"/>
          <w:highlight w:val="none"/>
        </w:rPr>
      </w:pPr>
    </w:p>
    <w:p w14:paraId="76A13D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人民生活：</w:t>
      </w:r>
      <w:r>
        <w:rPr>
          <w:rFonts w:hint="eastAsia" w:ascii="仿宋_GB2312" w:hAnsi="仿宋_GB2312" w:eastAsia="仿宋_GB2312" w:cs="仿宋_GB2312"/>
          <w:color w:val="auto"/>
          <w:sz w:val="32"/>
          <w:szCs w:val="32"/>
          <w:highlight w:val="none"/>
        </w:rPr>
        <w:t>全年城镇居民人均可支配收入3</w:t>
      </w:r>
      <w:r>
        <w:rPr>
          <w:rFonts w:hint="eastAsia" w:ascii="仿宋_GB2312" w:hAnsi="仿宋_GB2312" w:eastAsia="仿宋_GB2312" w:cs="仿宋_GB2312"/>
          <w:color w:val="auto"/>
          <w:sz w:val="32"/>
          <w:szCs w:val="32"/>
          <w:highlight w:val="none"/>
          <w:lang w:val="en-US" w:eastAsia="zh-CN"/>
        </w:rPr>
        <w:t>9130</w:t>
      </w:r>
      <w:r>
        <w:rPr>
          <w:rFonts w:hint="eastAsia" w:ascii="仿宋_GB2312" w:hAnsi="仿宋_GB2312" w:eastAsia="仿宋_GB2312" w:cs="仿宋_GB2312"/>
          <w:color w:val="auto"/>
          <w:sz w:val="32"/>
          <w:szCs w:val="32"/>
          <w:highlight w:val="none"/>
        </w:rPr>
        <w:t>元，比上年增加</w:t>
      </w:r>
      <w:r>
        <w:rPr>
          <w:rFonts w:hint="eastAsia" w:ascii="仿宋_GB2312" w:hAnsi="仿宋_GB2312" w:eastAsia="仿宋_GB2312" w:cs="仿宋_GB2312"/>
          <w:color w:val="auto"/>
          <w:sz w:val="32"/>
          <w:szCs w:val="32"/>
          <w:highlight w:val="none"/>
          <w:lang w:val="en-US" w:eastAsia="zh-CN"/>
        </w:rPr>
        <w:t>2019</w:t>
      </w:r>
      <w:r>
        <w:rPr>
          <w:rFonts w:hint="eastAsia" w:ascii="仿宋_GB2312" w:hAnsi="仿宋_GB2312" w:eastAsia="仿宋_GB2312" w:cs="仿宋_GB2312"/>
          <w:color w:val="auto"/>
          <w:sz w:val="32"/>
          <w:szCs w:val="32"/>
          <w:highlight w:val="none"/>
        </w:rPr>
        <w:t>元，增长</w:t>
      </w:r>
      <w:r>
        <w:rPr>
          <w:rFonts w:hint="eastAsia" w:ascii="仿宋_GB2312" w:hAnsi="仿宋_GB2312" w:eastAsia="仿宋_GB2312" w:cs="仿宋_GB2312"/>
          <w:color w:val="auto"/>
          <w:sz w:val="32"/>
          <w:szCs w:val="32"/>
          <w:highlight w:val="none"/>
          <w:lang w:val="en-US" w:eastAsia="zh-CN"/>
        </w:rPr>
        <w:t>5.4</w:t>
      </w:r>
      <w:r>
        <w:rPr>
          <w:rFonts w:hint="eastAsia" w:ascii="仿宋_GB2312" w:hAnsi="仿宋_GB2312" w:eastAsia="仿宋_GB2312" w:cs="仿宋_GB2312"/>
          <w:color w:val="auto"/>
          <w:sz w:val="32"/>
          <w:szCs w:val="32"/>
          <w:highlight w:val="none"/>
        </w:rPr>
        <w:t>%；城镇居民人均</w:t>
      </w:r>
      <w:r>
        <w:rPr>
          <w:rFonts w:hint="eastAsia" w:ascii="仿宋_GB2312" w:hAnsi="仿宋_GB2312" w:eastAsia="仿宋_GB2312" w:cs="仿宋_GB2312"/>
          <w:color w:val="auto"/>
          <w:sz w:val="32"/>
          <w:szCs w:val="32"/>
          <w:highlight w:val="none"/>
          <w:lang w:val="en-US" w:eastAsia="zh-CN"/>
        </w:rPr>
        <w:t>生活</w:t>
      </w:r>
      <w:r>
        <w:rPr>
          <w:rFonts w:hint="eastAsia" w:ascii="仿宋_GB2312" w:hAnsi="仿宋_GB2312" w:eastAsia="仿宋_GB2312" w:cs="仿宋_GB2312"/>
          <w:color w:val="auto"/>
          <w:sz w:val="32"/>
          <w:szCs w:val="32"/>
          <w:highlight w:val="none"/>
        </w:rPr>
        <w:t>消费支出</w:t>
      </w:r>
      <w:r>
        <w:rPr>
          <w:rFonts w:hint="eastAsia" w:ascii="仿宋_GB2312" w:hAnsi="仿宋_GB2312" w:eastAsia="仿宋_GB2312" w:cs="仿宋_GB2312"/>
          <w:color w:val="auto"/>
          <w:sz w:val="32"/>
          <w:szCs w:val="32"/>
          <w:highlight w:val="none"/>
          <w:lang w:val="en-US" w:eastAsia="zh-CN"/>
        </w:rPr>
        <w:t>38219</w:t>
      </w:r>
      <w:r>
        <w:rPr>
          <w:rFonts w:hint="eastAsia" w:ascii="仿宋_GB2312" w:hAnsi="仿宋_GB2312" w:eastAsia="仿宋_GB2312" w:cs="仿宋_GB2312"/>
          <w:color w:val="auto"/>
          <w:sz w:val="32"/>
          <w:szCs w:val="32"/>
          <w:highlight w:val="none"/>
        </w:rPr>
        <w:t>元，增长</w:t>
      </w:r>
      <w:r>
        <w:rPr>
          <w:rFonts w:hint="eastAsia" w:ascii="仿宋_GB2312" w:hAnsi="仿宋_GB2312" w:eastAsia="仿宋_GB2312" w:cs="仿宋_GB2312"/>
          <w:color w:val="auto"/>
          <w:sz w:val="32"/>
          <w:szCs w:val="32"/>
          <w:highlight w:val="none"/>
          <w:lang w:val="en-US" w:eastAsia="zh-CN"/>
        </w:rPr>
        <w:t>4.27</w:t>
      </w:r>
      <w:r>
        <w:rPr>
          <w:rFonts w:hint="eastAsia" w:ascii="仿宋_GB2312" w:hAnsi="仿宋_GB2312" w:eastAsia="仿宋_GB2312" w:cs="仿宋_GB2312"/>
          <w:color w:val="auto"/>
          <w:sz w:val="32"/>
          <w:szCs w:val="32"/>
          <w:highlight w:val="none"/>
        </w:rPr>
        <w:t>%；城镇居民家庭食品消费支出占消费总支出的比重（城镇居民家庭恩格尔系数）为</w:t>
      </w:r>
      <w:r>
        <w:rPr>
          <w:rFonts w:hint="eastAsia" w:ascii="仿宋_GB2312" w:hAnsi="仿宋_GB2312" w:eastAsia="仿宋_GB2312" w:cs="仿宋_GB2312"/>
          <w:color w:val="auto"/>
          <w:sz w:val="32"/>
          <w:szCs w:val="32"/>
          <w:highlight w:val="none"/>
          <w:lang w:val="en-US" w:eastAsia="zh-CN"/>
        </w:rPr>
        <w:t>28.2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比</w:t>
      </w:r>
      <w:r>
        <w:rPr>
          <w:rFonts w:hint="eastAsia" w:ascii="仿宋_GB2312" w:hAnsi="仿宋_GB2312" w:eastAsia="仿宋_GB2312" w:cs="仿宋_GB2312"/>
          <w:color w:val="auto"/>
          <w:sz w:val="32"/>
          <w:szCs w:val="32"/>
          <w:highlight w:val="none"/>
        </w:rPr>
        <w:t>上年</w:t>
      </w:r>
      <w:r>
        <w:rPr>
          <w:rFonts w:hint="eastAsia" w:ascii="仿宋_GB2312" w:hAnsi="仿宋_GB2312" w:eastAsia="仿宋_GB2312" w:cs="仿宋_GB2312"/>
          <w:color w:val="auto"/>
          <w:sz w:val="32"/>
          <w:szCs w:val="32"/>
          <w:highlight w:val="none"/>
          <w:lang w:val="en-US" w:eastAsia="zh-CN"/>
        </w:rPr>
        <w:t>下降0.6</w:t>
      </w:r>
      <w:r>
        <w:rPr>
          <w:rFonts w:hint="eastAsia" w:ascii="仿宋_GB2312" w:hAnsi="仿宋_GB2312" w:eastAsia="仿宋_GB2312" w:cs="仿宋_GB2312"/>
          <w:color w:val="auto"/>
          <w:sz w:val="32"/>
          <w:szCs w:val="32"/>
          <w:highlight w:val="none"/>
        </w:rPr>
        <w:t>个百分点。农村居民人均可支配收入</w:t>
      </w:r>
      <w:r>
        <w:rPr>
          <w:rFonts w:hint="eastAsia" w:ascii="仿宋_GB2312" w:hAnsi="仿宋_GB2312" w:eastAsia="仿宋_GB2312" w:cs="仿宋_GB2312"/>
          <w:color w:val="auto"/>
          <w:sz w:val="32"/>
          <w:szCs w:val="32"/>
          <w:highlight w:val="none"/>
          <w:lang w:val="en-US" w:eastAsia="zh-CN"/>
        </w:rPr>
        <w:t>27261</w:t>
      </w:r>
      <w:r>
        <w:rPr>
          <w:rFonts w:hint="eastAsia" w:ascii="仿宋_GB2312" w:hAnsi="仿宋_GB2312" w:eastAsia="仿宋_GB2312" w:cs="仿宋_GB2312"/>
          <w:color w:val="auto"/>
          <w:sz w:val="32"/>
          <w:szCs w:val="32"/>
          <w:highlight w:val="none"/>
        </w:rPr>
        <w:t>元，比上年增加</w:t>
      </w:r>
      <w:r>
        <w:rPr>
          <w:rFonts w:hint="eastAsia" w:ascii="仿宋_GB2312" w:hAnsi="仿宋_GB2312" w:eastAsia="仿宋_GB2312" w:cs="仿宋_GB2312"/>
          <w:color w:val="auto"/>
          <w:sz w:val="32"/>
          <w:szCs w:val="32"/>
          <w:highlight w:val="none"/>
          <w:lang w:val="en-US" w:eastAsia="zh-CN"/>
        </w:rPr>
        <w:t>1984</w:t>
      </w:r>
      <w:r>
        <w:rPr>
          <w:rFonts w:hint="eastAsia" w:ascii="仿宋_GB2312" w:hAnsi="仿宋_GB2312" w:eastAsia="仿宋_GB2312" w:cs="仿宋_GB2312"/>
          <w:color w:val="auto"/>
          <w:sz w:val="32"/>
          <w:szCs w:val="32"/>
          <w:highlight w:val="none"/>
        </w:rPr>
        <w:t>元，增长</w:t>
      </w:r>
      <w:r>
        <w:rPr>
          <w:rFonts w:hint="eastAsia" w:ascii="仿宋_GB2312" w:hAnsi="仿宋_GB2312" w:eastAsia="仿宋_GB2312" w:cs="仿宋_GB2312"/>
          <w:color w:val="auto"/>
          <w:sz w:val="32"/>
          <w:szCs w:val="32"/>
          <w:highlight w:val="none"/>
          <w:lang w:val="en-US" w:eastAsia="zh-CN"/>
        </w:rPr>
        <w:t>7.9</w:t>
      </w:r>
      <w:r>
        <w:rPr>
          <w:rFonts w:hint="eastAsia" w:ascii="仿宋_GB2312" w:hAnsi="仿宋_GB2312" w:eastAsia="仿宋_GB2312" w:cs="仿宋_GB2312"/>
          <w:color w:val="auto"/>
          <w:sz w:val="32"/>
          <w:szCs w:val="32"/>
          <w:highlight w:val="none"/>
        </w:rPr>
        <w:t>%；农村居民人均生活消费支出</w:t>
      </w:r>
      <w:r>
        <w:rPr>
          <w:rFonts w:hint="eastAsia" w:ascii="仿宋_GB2312" w:hAnsi="仿宋_GB2312" w:eastAsia="仿宋_GB2312" w:cs="仿宋_GB2312"/>
          <w:color w:val="auto"/>
          <w:sz w:val="32"/>
          <w:szCs w:val="32"/>
          <w:highlight w:val="none"/>
          <w:lang w:val="en-US" w:eastAsia="zh-CN"/>
        </w:rPr>
        <w:t>25394</w:t>
      </w:r>
      <w:r>
        <w:rPr>
          <w:rFonts w:hint="eastAsia" w:ascii="仿宋_GB2312" w:hAnsi="仿宋_GB2312" w:eastAsia="仿宋_GB2312" w:cs="仿宋_GB2312"/>
          <w:color w:val="auto"/>
          <w:sz w:val="32"/>
          <w:szCs w:val="32"/>
          <w:highlight w:val="none"/>
        </w:rPr>
        <w:t>元，增长</w:t>
      </w:r>
      <w:r>
        <w:rPr>
          <w:rFonts w:hint="eastAsia" w:ascii="仿宋_GB2312" w:hAnsi="仿宋_GB2312" w:eastAsia="仿宋_GB2312" w:cs="仿宋_GB2312"/>
          <w:color w:val="auto"/>
          <w:sz w:val="32"/>
          <w:szCs w:val="32"/>
          <w:highlight w:val="none"/>
          <w:lang w:val="en-US" w:eastAsia="zh-CN"/>
        </w:rPr>
        <w:t>5.24</w:t>
      </w:r>
      <w:r>
        <w:rPr>
          <w:rFonts w:hint="eastAsia" w:ascii="仿宋_GB2312" w:hAnsi="仿宋_GB2312" w:eastAsia="仿宋_GB2312" w:cs="仿宋_GB2312"/>
          <w:color w:val="auto"/>
          <w:sz w:val="32"/>
          <w:szCs w:val="32"/>
          <w:highlight w:val="none"/>
        </w:rPr>
        <w:t>%；农村居民家庭食品消费支出占消费总支出的比重（农村居民家庭恩格尔系数）为</w:t>
      </w:r>
      <w:r>
        <w:rPr>
          <w:rFonts w:hint="eastAsia" w:ascii="仿宋_GB2312" w:hAnsi="仿宋_GB2312" w:eastAsia="仿宋_GB2312" w:cs="仿宋_GB2312"/>
          <w:color w:val="auto"/>
          <w:sz w:val="32"/>
          <w:szCs w:val="32"/>
          <w:highlight w:val="none"/>
          <w:lang w:val="en-US" w:eastAsia="zh-CN"/>
        </w:rPr>
        <w:t>30.48</w:t>
      </w:r>
      <w:r>
        <w:rPr>
          <w:rFonts w:hint="eastAsia" w:ascii="仿宋_GB2312" w:hAnsi="仿宋_GB2312" w:eastAsia="仿宋_GB2312" w:cs="仿宋_GB2312"/>
          <w:color w:val="auto"/>
          <w:sz w:val="32"/>
          <w:szCs w:val="32"/>
          <w:highlight w:val="none"/>
        </w:rPr>
        <w:t>%，比上年上升0.</w:t>
      </w:r>
      <w:r>
        <w:rPr>
          <w:rFonts w:hint="eastAsia" w:ascii="仿宋_GB2312" w:hAnsi="仿宋_GB2312" w:eastAsia="仿宋_GB2312" w:cs="仿宋_GB2312"/>
          <w:color w:val="auto"/>
          <w:sz w:val="32"/>
          <w:szCs w:val="32"/>
          <w:highlight w:val="none"/>
          <w:lang w:val="en-US" w:eastAsia="zh-CN"/>
        </w:rPr>
        <w:t>64</w:t>
      </w:r>
      <w:r>
        <w:rPr>
          <w:rFonts w:hint="eastAsia" w:ascii="仿宋_GB2312" w:hAnsi="仿宋_GB2312" w:eastAsia="仿宋_GB2312" w:cs="仿宋_GB2312"/>
          <w:color w:val="auto"/>
          <w:sz w:val="32"/>
          <w:szCs w:val="32"/>
          <w:highlight w:val="none"/>
        </w:rPr>
        <w:t>个百分点。</w:t>
      </w:r>
    </w:p>
    <w:p w14:paraId="695C101A">
      <w:pPr>
        <w:pStyle w:val="2"/>
        <w:rPr>
          <w:rFonts w:hint="eastAsia"/>
        </w:rPr>
      </w:pPr>
    </w:p>
    <w:p w14:paraId="45DA3399">
      <w:pPr>
        <w:pStyle w:val="2"/>
        <w:keepNext w:val="0"/>
        <w:keepLines w:val="0"/>
        <w:pageBreakBefore w:val="0"/>
        <w:kinsoku/>
        <w:wordWrap/>
        <w:overflowPunct/>
        <w:topLinePunct w:val="0"/>
        <w:autoSpaceDE/>
        <w:autoSpaceDN/>
        <w:bidi w:val="0"/>
        <w:adjustRightInd/>
        <w:snapToGrid/>
        <w:spacing w:line="560" w:lineRule="exact"/>
        <w:rPr>
          <w:rFonts w:hint="eastAsia"/>
          <w:color w:val="auto"/>
        </w:rPr>
      </w:pPr>
    </w:p>
    <w:tbl>
      <w:tblPr>
        <w:tblStyle w:val="8"/>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7"/>
        <w:gridCol w:w="1390"/>
        <w:gridCol w:w="1865"/>
        <w:gridCol w:w="1390"/>
        <w:gridCol w:w="1078"/>
      </w:tblGrid>
      <w:tr w14:paraId="29BE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20" w:type="dxa"/>
            <w:gridSpan w:val="5"/>
            <w:tcBorders>
              <w:top w:val="nil"/>
              <w:left w:val="nil"/>
              <w:bottom w:val="nil"/>
              <w:right w:val="nil"/>
            </w:tcBorders>
            <w:shd w:val="clear" w:color="auto" w:fill="auto"/>
            <w:noWrap/>
            <w:vAlign w:val="center"/>
          </w:tcPr>
          <w:p w14:paraId="54EDFC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表6  2024年肃南县城乡居民可支配收入</w:t>
            </w:r>
          </w:p>
        </w:tc>
      </w:tr>
      <w:tr w14:paraId="341BB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220" w:type="dxa"/>
            <w:gridSpan w:val="5"/>
            <w:tcBorders>
              <w:top w:val="nil"/>
              <w:left w:val="nil"/>
              <w:bottom w:val="nil"/>
              <w:right w:val="nil"/>
            </w:tcBorders>
            <w:shd w:val="clear" w:color="auto" w:fill="auto"/>
            <w:noWrap/>
            <w:vAlign w:val="center"/>
          </w:tcPr>
          <w:p w14:paraId="373030DF">
            <w:pPr>
              <w:keepNext w:val="0"/>
              <w:keepLines w:val="0"/>
              <w:pageBreakBefore w:val="0"/>
              <w:widowControl/>
              <w:suppressLineNumbers w:val="0"/>
              <w:kinsoku/>
              <w:wordWrap/>
              <w:overflowPunct/>
              <w:topLinePunct w:val="0"/>
              <w:autoSpaceDE/>
              <w:autoSpaceDN/>
              <w:bidi w:val="0"/>
              <w:adjustRightInd/>
              <w:snapToGrid/>
              <w:spacing w:line="560" w:lineRule="exact"/>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单位：元  %</w:t>
            </w:r>
          </w:p>
        </w:tc>
      </w:tr>
      <w:tr w14:paraId="3A605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497" w:type="dxa"/>
            <w:vMerge w:val="restart"/>
            <w:tcBorders>
              <w:top w:val="single" w:color="000000" w:sz="4" w:space="0"/>
              <w:left w:val="nil"/>
              <w:bottom w:val="single" w:color="000000" w:sz="4" w:space="0"/>
              <w:right w:val="single" w:color="000000" w:sz="4" w:space="0"/>
            </w:tcBorders>
            <w:shd w:val="clear" w:color="auto" w:fill="auto"/>
            <w:noWrap/>
            <w:vAlign w:val="center"/>
          </w:tcPr>
          <w:p w14:paraId="34A1686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指标</w:t>
            </w:r>
          </w:p>
        </w:tc>
        <w:tc>
          <w:tcPr>
            <w:tcW w:w="3255" w:type="dxa"/>
            <w:gridSpan w:val="2"/>
            <w:tcBorders>
              <w:top w:val="single" w:color="000000" w:sz="4" w:space="0"/>
              <w:left w:val="nil"/>
              <w:bottom w:val="single" w:color="000000" w:sz="4" w:space="0"/>
              <w:right w:val="single" w:color="000000" w:sz="4" w:space="0"/>
            </w:tcBorders>
            <w:shd w:val="clear" w:color="auto" w:fill="auto"/>
            <w:noWrap/>
            <w:vAlign w:val="center"/>
          </w:tcPr>
          <w:p w14:paraId="5D2D594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城镇</w:t>
            </w:r>
          </w:p>
        </w:tc>
        <w:tc>
          <w:tcPr>
            <w:tcW w:w="2468" w:type="dxa"/>
            <w:gridSpan w:val="2"/>
            <w:tcBorders>
              <w:top w:val="single" w:color="000000" w:sz="4" w:space="0"/>
              <w:left w:val="nil"/>
              <w:bottom w:val="single" w:color="000000" w:sz="4" w:space="0"/>
              <w:right w:val="nil"/>
            </w:tcBorders>
            <w:shd w:val="clear" w:color="auto" w:fill="auto"/>
            <w:noWrap/>
            <w:vAlign w:val="center"/>
          </w:tcPr>
          <w:p w14:paraId="442A9D4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农村</w:t>
            </w:r>
          </w:p>
        </w:tc>
      </w:tr>
      <w:tr w14:paraId="0603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249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71695E0">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auto"/>
                <w:sz w:val="24"/>
                <w:szCs w:val="24"/>
                <w:u w:val="none"/>
              </w:rPr>
            </w:pPr>
          </w:p>
        </w:tc>
        <w:tc>
          <w:tcPr>
            <w:tcW w:w="1390" w:type="dxa"/>
            <w:tcBorders>
              <w:top w:val="nil"/>
              <w:left w:val="nil"/>
              <w:bottom w:val="single" w:color="000000" w:sz="4" w:space="0"/>
              <w:right w:val="single" w:color="000000" w:sz="4" w:space="0"/>
            </w:tcBorders>
            <w:shd w:val="clear" w:color="auto" w:fill="auto"/>
            <w:noWrap/>
            <w:vAlign w:val="center"/>
          </w:tcPr>
          <w:p w14:paraId="4E371D0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w:t>
            </w:r>
          </w:p>
        </w:tc>
        <w:tc>
          <w:tcPr>
            <w:tcW w:w="1865" w:type="dxa"/>
            <w:tcBorders>
              <w:top w:val="nil"/>
              <w:left w:val="nil"/>
              <w:bottom w:val="single" w:color="000000" w:sz="4" w:space="0"/>
              <w:right w:val="single" w:color="000000" w:sz="4" w:space="0"/>
            </w:tcBorders>
            <w:shd w:val="clear" w:color="auto" w:fill="auto"/>
            <w:noWrap/>
            <w:vAlign w:val="center"/>
          </w:tcPr>
          <w:p w14:paraId="3982EDE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比上年增长</w:t>
            </w:r>
          </w:p>
        </w:tc>
        <w:tc>
          <w:tcPr>
            <w:tcW w:w="1390" w:type="dxa"/>
            <w:tcBorders>
              <w:top w:val="nil"/>
              <w:left w:val="nil"/>
              <w:bottom w:val="single" w:color="000000" w:sz="4" w:space="0"/>
              <w:right w:val="single" w:color="000000" w:sz="4" w:space="0"/>
            </w:tcBorders>
            <w:shd w:val="clear" w:color="auto" w:fill="auto"/>
            <w:noWrap/>
            <w:vAlign w:val="center"/>
          </w:tcPr>
          <w:p w14:paraId="56E0EF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完成数</w:t>
            </w:r>
          </w:p>
        </w:tc>
        <w:tc>
          <w:tcPr>
            <w:tcW w:w="1078" w:type="dxa"/>
            <w:tcBorders>
              <w:top w:val="nil"/>
              <w:left w:val="nil"/>
              <w:bottom w:val="single" w:color="auto" w:sz="4" w:space="0"/>
              <w:right w:val="nil"/>
            </w:tcBorders>
            <w:shd w:val="clear" w:color="auto" w:fill="auto"/>
            <w:noWrap/>
            <w:vAlign w:val="center"/>
          </w:tcPr>
          <w:p w14:paraId="33DD37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比上年增长</w:t>
            </w:r>
          </w:p>
        </w:tc>
      </w:tr>
      <w:tr w14:paraId="1549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497" w:type="dxa"/>
            <w:tcBorders>
              <w:top w:val="nil"/>
              <w:left w:val="nil"/>
              <w:bottom w:val="nil"/>
              <w:right w:val="single" w:color="000000" w:sz="4" w:space="0"/>
            </w:tcBorders>
            <w:shd w:val="clear" w:color="auto" w:fill="auto"/>
            <w:noWrap/>
            <w:vAlign w:val="center"/>
          </w:tcPr>
          <w:p w14:paraId="0529F7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可支配收入</w:t>
            </w:r>
          </w:p>
        </w:tc>
        <w:tc>
          <w:tcPr>
            <w:tcW w:w="1390" w:type="dxa"/>
            <w:tcBorders>
              <w:top w:val="nil"/>
              <w:left w:val="nil"/>
              <w:bottom w:val="nil"/>
              <w:right w:val="single" w:color="000000" w:sz="4" w:space="0"/>
            </w:tcBorders>
            <w:shd w:val="clear" w:color="auto" w:fill="auto"/>
            <w:noWrap/>
            <w:vAlign w:val="center"/>
          </w:tcPr>
          <w:p w14:paraId="5291F1A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39129.58</w:t>
            </w:r>
          </w:p>
        </w:tc>
        <w:tc>
          <w:tcPr>
            <w:tcW w:w="1865" w:type="dxa"/>
            <w:tcBorders>
              <w:top w:val="nil"/>
              <w:left w:val="nil"/>
              <w:bottom w:val="nil"/>
              <w:right w:val="single" w:color="000000" w:sz="4" w:space="0"/>
            </w:tcBorders>
            <w:shd w:val="clear" w:color="auto" w:fill="auto"/>
            <w:noWrap/>
            <w:vAlign w:val="center"/>
          </w:tcPr>
          <w:p w14:paraId="2AA8C70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5.44</w:t>
            </w:r>
          </w:p>
        </w:tc>
        <w:tc>
          <w:tcPr>
            <w:tcW w:w="1390" w:type="dxa"/>
            <w:tcBorders>
              <w:top w:val="nil"/>
              <w:left w:val="nil"/>
              <w:bottom w:val="nil"/>
              <w:right w:val="single" w:color="auto" w:sz="4" w:space="0"/>
            </w:tcBorders>
            <w:shd w:val="clear" w:color="auto" w:fill="auto"/>
            <w:noWrap/>
            <w:vAlign w:val="center"/>
          </w:tcPr>
          <w:p w14:paraId="3EFF4FA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27260.74</w:t>
            </w:r>
          </w:p>
        </w:tc>
        <w:tc>
          <w:tcPr>
            <w:tcW w:w="1078" w:type="dxa"/>
            <w:tcBorders>
              <w:top w:val="single" w:color="auto" w:sz="4" w:space="0"/>
              <w:left w:val="single" w:color="auto" w:sz="4" w:space="0"/>
              <w:bottom w:val="nil"/>
              <w:right w:val="nil"/>
            </w:tcBorders>
            <w:shd w:val="clear" w:color="auto" w:fill="auto"/>
            <w:noWrap/>
            <w:vAlign w:val="center"/>
          </w:tcPr>
          <w:p w14:paraId="3AA544E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7.85</w:t>
            </w:r>
          </w:p>
        </w:tc>
      </w:tr>
      <w:tr w14:paraId="019C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top w:val="nil"/>
              <w:left w:val="nil"/>
              <w:bottom w:val="nil"/>
              <w:right w:val="single" w:color="000000" w:sz="4" w:space="0"/>
            </w:tcBorders>
            <w:shd w:val="clear" w:color="auto" w:fill="auto"/>
            <w:noWrap/>
            <w:vAlign w:val="center"/>
          </w:tcPr>
          <w:p w14:paraId="5B31C6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工资性收入</w:t>
            </w:r>
          </w:p>
        </w:tc>
        <w:tc>
          <w:tcPr>
            <w:tcW w:w="1390" w:type="dxa"/>
            <w:tcBorders>
              <w:top w:val="nil"/>
              <w:left w:val="nil"/>
              <w:bottom w:val="nil"/>
              <w:right w:val="single" w:color="000000" w:sz="4" w:space="0"/>
            </w:tcBorders>
            <w:shd w:val="clear" w:color="auto" w:fill="auto"/>
            <w:noWrap/>
            <w:vAlign w:val="center"/>
          </w:tcPr>
          <w:p w14:paraId="076991A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32662.66</w:t>
            </w:r>
          </w:p>
        </w:tc>
        <w:tc>
          <w:tcPr>
            <w:tcW w:w="1865" w:type="dxa"/>
            <w:tcBorders>
              <w:top w:val="nil"/>
              <w:left w:val="nil"/>
              <w:bottom w:val="nil"/>
              <w:right w:val="single" w:color="000000" w:sz="4" w:space="0"/>
            </w:tcBorders>
            <w:shd w:val="clear" w:color="auto" w:fill="auto"/>
            <w:noWrap/>
            <w:vAlign w:val="center"/>
          </w:tcPr>
          <w:p w14:paraId="3F0E5C17">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5.56</w:t>
            </w:r>
          </w:p>
        </w:tc>
        <w:tc>
          <w:tcPr>
            <w:tcW w:w="1390" w:type="dxa"/>
            <w:tcBorders>
              <w:top w:val="nil"/>
              <w:left w:val="nil"/>
              <w:bottom w:val="nil"/>
              <w:right w:val="single" w:color="auto" w:sz="4" w:space="0"/>
            </w:tcBorders>
            <w:shd w:val="clear" w:color="auto" w:fill="auto"/>
            <w:noWrap/>
            <w:vAlign w:val="center"/>
          </w:tcPr>
          <w:p w14:paraId="683C01C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1902.44</w:t>
            </w:r>
          </w:p>
        </w:tc>
        <w:tc>
          <w:tcPr>
            <w:tcW w:w="1078" w:type="dxa"/>
            <w:tcBorders>
              <w:top w:val="nil"/>
              <w:left w:val="single" w:color="auto" w:sz="4" w:space="0"/>
              <w:bottom w:val="nil"/>
              <w:right w:val="nil"/>
            </w:tcBorders>
            <w:shd w:val="clear" w:color="auto" w:fill="auto"/>
            <w:noWrap/>
            <w:vAlign w:val="center"/>
          </w:tcPr>
          <w:p w14:paraId="13BADBC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4.52</w:t>
            </w:r>
          </w:p>
        </w:tc>
      </w:tr>
      <w:tr w14:paraId="30842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top w:val="nil"/>
              <w:left w:val="nil"/>
              <w:bottom w:val="nil"/>
              <w:right w:val="single" w:color="000000" w:sz="4" w:space="0"/>
            </w:tcBorders>
            <w:shd w:val="clear" w:color="auto" w:fill="auto"/>
            <w:noWrap/>
            <w:vAlign w:val="center"/>
          </w:tcPr>
          <w:p w14:paraId="56253DB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经营性收入</w:t>
            </w:r>
          </w:p>
        </w:tc>
        <w:tc>
          <w:tcPr>
            <w:tcW w:w="1390" w:type="dxa"/>
            <w:tcBorders>
              <w:top w:val="nil"/>
              <w:left w:val="nil"/>
              <w:bottom w:val="nil"/>
              <w:right w:val="single" w:color="000000" w:sz="4" w:space="0"/>
            </w:tcBorders>
            <w:shd w:val="clear" w:color="auto" w:fill="auto"/>
            <w:noWrap/>
            <w:vAlign w:val="center"/>
          </w:tcPr>
          <w:p w14:paraId="4037062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3807.29</w:t>
            </w:r>
          </w:p>
        </w:tc>
        <w:tc>
          <w:tcPr>
            <w:tcW w:w="1865" w:type="dxa"/>
            <w:tcBorders>
              <w:top w:val="nil"/>
              <w:left w:val="nil"/>
              <w:bottom w:val="nil"/>
              <w:right w:val="single" w:color="000000" w:sz="4" w:space="0"/>
            </w:tcBorders>
            <w:shd w:val="clear" w:color="auto" w:fill="auto"/>
            <w:noWrap/>
            <w:vAlign w:val="center"/>
          </w:tcPr>
          <w:p w14:paraId="506C4BB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4.66</w:t>
            </w:r>
          </w:p>
        </w:tc>
        <w:tc>
          <w:tcPr>
            <w:tcW w:w="1390" w:type="dxa"/>
            <w:tcBorders>
              <w:top w:val="nil"/>
              <w:left w:val="nil"/>
              <w:bottom w:val="nil"/>
              <w:right w:val="single" w:color="auto" w:sz="4" w:space="0"/>
            </w:tcBorders>
            <w:shd w:val="clear" w:color="auto" w:fill="auto"/>
            <w:noWrap/>
            <w:vAlign w:val="center"/>
          </w:tcPr>
          <w:p w14:paraId="796FF17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19513.33</w:t>
            </w:r>
          </w:p>
        </w:tc>
        <w:tc>
          <w:tcPr>
            <w:tcW w:w="1078" w:type="dxa"/>
            <w:tcBorders>
              <w:top w:val="nil"/>
              <w:left w:val="single" w:color="auto" w:sz="4" w:space="0"/>
              <w:bottom w:val="nil"/>
              <w:right w:val="nil"/>
            </w:tcBorders>
            <w:shd w:val="clear" w:color="auto" w:fill="auto"/>
            <w:noWrap/>
            <w:vAlign w:val="center"/>
          </w:tcPr>
          <w:p w14:paraId="3DA80D9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8.54</w:t>
            </w:r>
          </w:p>
        </w:tc>
      </w:tr>
      <w:tr w14:paraId="51F7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top w:val="nil"/>
              <w:left w:val="nil"/>
              <w:bottom w:val="nil"/>
              <w:right w:val="single" w:color="000000" w:sz="4" w:space="0"/>
            </w:tcBorders>
            <w:shd w:val="clear" w:color="auto" w:fill="auto"/>
            <w:noWrap/>
            <w:vAlign w:val="center"/>
          </w:tcPr>
          <w:p w14:paraId="44F582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财产净收入</w:t>
            </w:r>
          </w:p>
        </w:tc>
        <w:tc>
          <w:tcPr>
            <w:tcW w:w="1390" w:type="dxa"/>
            <w:tcBorders>
              <w:top w:val="nil"/>
              <w:left w:val="nil"/>
              <w:bottom w:val="nil"/>
              <w:right w:val="single" w:color="000000" w:sz="4" w:space="0"/>
            </w:tcBorders>
            <w:shd w:val="clear" w:color="auto" w:fill="auto"/>
            <w:noWrap/>
            <w:vAlign w:val="center"/>
          </w:tcPr>
          <w:p w14:paraId="3226483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1218.43</w:t>
            </w:r>
          </w:p>
        </w:tc>
        <w:tc>
          <w:tcPr>
            <w:tcW w:w="1865" w:type="dxa"/>
            <w:tcBorders>
              <w:top w:val="nil"/>
              <w:left w:val="nil"/>
              <w:bottom w:val="nil"/>
              <w:right w:val="single" w:color="000000" w:sz="4" w:space="0"/>
            </w:tcBorders>
            <w:shd w:val="clear" w:color="auto" w:fill="auto"/>
            <w:noWrap/>
            <w:vAlign w:val="center"/>
          </w:tcPr>
          <w:p w14:paraId="0F194F4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4.61</w:t>
            </w:r>
          </w:p>
        </w:tc>
        <w:tc>
          <w:tcPr>
            <w:tcW w:w="1390" w:type="dxa"/>
            <w:tcBorders>
              <w:top w:val="nil"/>
              <w:left w:val="nil"/>
              <w:bottom w:val="nil"/>
              <w:right w:val="single" w:color="auto" w:sz="4" w:space="0"/>
            </w:tcBorders>
            <w:shd w:val="clear" w:color="auto" w:fill="auto"/>
            <w:noWrap/>
            <w:vAlign w:val="center"/>
          </w:tcPr>
          <w:p w14:paraId="154CE84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186.40</w:t>
            </w:r>
          </w:p>
        </w:tc>
        <w:tc>
          <w:tcPr>
            <w:tcW w:w="1078" w:type="dxa"/>
            <w:tcBorders>
              <w:top w:val="nil"/>
              <w:left w:val="single" w:color="auto" w:sz="4" w:space="0"/>
              <w:bottom w:val="nil"/>
              <w:right w:val="nil"/>
            </w:tcBorders>
            <w:shd w:val="clear" w:color="auto" w:fill="auto"/>
            <w:noWrap/>
            <w:vAlign w:val="center"/>
          </w:tcPr>
          <w:p w14:paraId="267EA2A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5.21</w:t>
            </w:r>
          </w:p>
        </w:tc>
      </w:tr>
      <w:tr w14:paraId="0528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top w:val="nil"/>
              <w:left w:val="nil"/>
              <w:bottom w:val="single" w:color="auto" w:sz="4" w:space="0"/>
              <w:right w:val="single" w:color="auto" w:sz="4" w:space="0"/>
            </w:tcBorders>
            <w:shd w:val="clear" w:color="auto" w:fill="auto"/>
            <w:noWrap/>
            <w:vAlign w:val="center"/>
          </w:tcPr>
          <w:p w14:paraId="54AD3B1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转移净收入</w:t>
            </w:r>
          </w:p>
        </w:tc>
        <w:tc>
          <w:tcPr>
            <w:tcW w:w="1390" w:type="dxa"/>
            <w:tcBorders>
              <w:top w:val="nil"/>
              <w:left w:val="single" w:color="auto" w:sz="4" w:space="0"/>
              <w:bottom w:val="single" w:color="auto" w:sz="4" w:space="0"/>
              <w:right w:val="single" w:color="auto" w:sz="4" w:space="0"/>
            </w:tcBorders>
            <w:shd w:val="clear" w:color="auto" w:fill="auto"/>
            <w:noWrap/>
            <w:vAlign w:val="center"/>
          </w:tcPr>
          <w:p w14:paraId="25CB572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1441.19</w:t>
            </w:r>
          </w:p>
        </w:tc>
        <w:tc>
          <w:tcPr>
            <w:tcW w:w="1865" w:type="dxa"/>
            <w:tcBorders>
              <w:top w:val="nil"/>
              <w:left w:val="single" w:color="auto" w:sz="4" w:space="0"/>
              <w:bottom w:val="single" w:color="auto" w:sz="4" w:space="0"/>
              <w:right w:val="single" w:color="auto" w:sz="4" w:space="0"/>
            </w:tcBorders>
            <w:shd w:val="clear" w:color="auto" w:fill="auto"/>
            <w:noWrap/>
            <w:vAlign w:val="center"/>
          </w:tcPr>
          <w:p w14:paraId="6BB412A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5.54</w:t>
            </w:r>
          </w:p>
        </w:tc>
        <w:tc>
          <w:tcPr>
            <w:tcW w:w="1390" w:type="dxa"/>
            <w:tcBorders>
              <w:top w:val="nil"/>
              <w:left w:val="single" w:color="auto" w:sz="4" w:space="0"/>
              <w:bottom w:val="single" w:color="auto" w:sz="4" w:space="0"/>
              <w:right w:val="single" w:color="auto" w:sz="4" w:space="0"/>
            </w:tcBorders>
            <w:shd w:val="clear" w:color="auto" w:fill="auto"/>
            <w:noWrap/>
            <w:vAlign w:val="center"/>
          </w:tcPr>
          <w:p w14:paraId="2513D83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5658.57</w:t>
            </w:r>
          </w:p>
        </w:tc>
        <w:tc>
          <w:tcPr>
            <w:tcW w:w="1078" w:type="dxa"/>
            <w:tcBorders>
              <w:top w:val="nil"/>
              <w:left w:val="single" w:color="auto" w:sz="4" w:space="0"/>
              <w:bottom w:val="single" w:color="auto" w:sz="4" w:space="0"/>
              <w:right w:val="nil"/>
            </w:tcBorders>
            <w:shd w:val="clear" w:color="auto" w:fill="auto"/>
            <w:noWrap/>
            <w:vAlign w:val="center"/>
          </w:tcPr>
          <w:p w14:paraId="040B400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6.75</w:t>
            </w:r>
          </w:p>
        </w:tc>
      </w:tr>
    </w:tbl>
    <w:p w14:paraId="23F058EB"/>
    <w:p w14:paraId="0E085891">
      <w:pPr>
        <w:pStyle w:val="2"/>
      </w:pPr>
    </w:p>
    <w:p w14:paraId="7C9BC835">
      <w:pPr>
        <w:pStyle w:val="2"/>
      </w:pPr>
    </w:p>
    <w:p w14:paraId="791392B9">
      <w:pPr>
        <w:pStyle w:val="2"/>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表7  2024年肃南县城乡居民可支配支出</w:t>
      </w:r>
    </w:p>
    <w:p w14:paraId="3C577472">
      <w:pPr>
        <w:pStyle w:val="2"/>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单位：元  %</w:t>
      </w:r>
    </w:p>
    <w:tbl>
      <w:tblPr>
        <w:tblStyle w:val="8"/>
        <w:tblW w:w="8220" w:type="dxa"/>
        <w:tblInd w:w="93" w:type="dxa"/>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97"/>
        <w:gridCol w:w="1390"/>
        <w:gridCol w:w="1865"/>
        <w:gridCol w:w="1390"/>
        <w:gridCol w:w="1078"/>
      </w:tblGrid>
      <w:tr w14:paraId="26CDFB8F">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2497" w:type="dxa"/>
            <w:vMerge w:val="restart"/>
            <w:tcBorders>
              <w:right w:val="single" w:color="000000" w:sz="4" w:space="0"/>
            </w:tcBorders>
            <w:shd w:val="clear" w:color="auto" w:fill="auto"/>
            <w:noWrap/>
            <w:vAlign w:val="center"/>
          </w:tcPr>
          <w:p w14:paraId="2CBD94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指标</w:t>
            </w:r>
          </w:p>
        </w:tc>
        <w:tc>
          <w:tcPr>
            <w:tcW w:w="3255" w:type="dxa"/>
            <w:gridSpan w:val="2"/>
            <w:tcBorders>
              <w:left w:val="single" w:color="000000" w:sz="4" w:space="0"/>
              <w:bottom w:val="single" w:color="000000" w:sz="4" w:space="0"/>
              <w:right w:val="single" w:color="000000" w:sz="4" w:space="0"/>
            </w:tcBorders>
            <w:shd w:val="clear" w:color="auto" w:fill="auto"/>
            <w:noWrap/>
            <w:vAlign w:val="center"/>
          </w:tcPr>
          <w:p w14:paraId="5D4564EA">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城镇</w:t>
            </w:r>
          </w:p>
        </w:tc>
        <w:tc>
          <w:tcPr>
            <w:tcW w:w="2468" w:type="dxa"/>
            <w:gridSpan w:val="2"/>
            <w:tcBorders>
              <w:left w:val="single" w:color="000000" w:sz="4" w:space="0"/>
              <w:bottom w:val="single" w:color="000000" w:sz="4" w:space="0"/>
              <w:right w:val="nil"/>
            </w:tcBorders>
            <w:shd w:val="clear" w:color="auto" w:fill="auto"/>
            <w:noWrap/>
            <w:vAlign w:val="center"/>
          </w:tcPr>
          <w:p w14:paraId="0668B9F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农村</w:t>
            </w:r>
          </w:p>
        </w:tc>
      </w:tr>
      <w:tr w14:paraId="6D52E55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2497" w:type="dxa"/>
            <w:vMerge w:val="continue"/>
            <w:tcBorders>
              <w:bottom w:val="single" w:color="000000" w:sz="4" w:space="0"/>
              <w:right w:val="single" w:color="000000" w:sz="4" w:space="0"/>
            </w:tcBorders>
            <w:shd w:val="clear" w:color="auto" w:fill="auto"/>
            <w:noWrap/>
            <w:vAlign w:val="center"/>
          </w:tcPr>
          <w:p w14:paraId="53260ED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0C6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完成数</w:t>
            </w:r>
          </w:p>
        </w:tc>
        <w:tc>
          <w:tcPr>
            <w:tcW w:w="1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337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比上年增长</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88F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完成数</w:t>
            </w:r>
          </w:p>
        </w:tc>
        <w:tc>
          <w:tcPr>
            <w:tcW w:w="1078" w:type="dxa"/>
            <w:tcBorders>
              <w:top w:val="single" w:color="000000" w:sz="4" w:space="0"/>
              <w:left w:val="single" w:color="000000" w:sz="4" w:space="0"/>
              <w:bottom w:val="single" w:color="000000" w:sz="4" w:space="0"/>
              <w:tl2br w:val="nil"/>
              <w:tr2bl w:val="nil"/>
            </w:tcBorders>
            <w:shd w:val="clear" w:color="auto" w:fill="auto"/>
            <w:noWrap/>
            <w:vAlign w:val="center"/>
          </w:tcPr>
          <w:p w14:paraId="3E6A5DAA">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比上年增长</w:t>
            </w:r>
          </w:p>
        </w:tc>
      </w:tr>
      <w:tr w14:paraId="3930926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497" w:type="dxa"/>
            <w:tcBorders>
              <w:top w:val="single" w:color="000000" w:sz="4" w:space="0"/>
              <w:right w:val="single" w:color="000000" w:sz="4" w:space="0"/>
            </w:tcBorders>
            <w:shd w:val="clear" w:color="auto" w:fill="auto"/>
            <w:noWrap/>
            <w:vAlign w:val="center"/>
          </w:tcPr>
          <w:p w14:paraId="04753DC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生活消费支出</w:t>
            </w:r>
          </w:p>
        </w:tc>
        <w:tc>
          <w:tcPr>
            <w:tcW w:w="1390" w:type="dxa"/>
            <w:tcBorders>
              <w:top w:val="single" w:color="000000" w:sz="4" w:space="0"/>
              <w:left w:val="single" w:color="000000" w:sz="4" w:space="0"/>
              <w:right w:val="single" w:color="000000" w:sz="4" w:space="0"/>
            </w:tcBorders>
            <w:shd w:val="clear" w:color="auto" w:fill="auto"/>
            <w:noWrap/>
            <w:vAlign w:val="center"/>
          </w:tcPr>
          <w:p w14:paraId="395FB796">
            <w:pPr>
              <w:keepNext w:val="0"/>
              <w:keepLines w:val="0"/>
              <w:widowControl/>
              <w:suppressLineNumbers w:val="0"/>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38219.63</w:t>
            </w:r>
          </w:p>
        </w:tc>
        <w:tc>
          <w:tcPr>
            <w:tcW w:w="1865" w:type="dxa"/>
            <w:tcBorders>
              <w:top w:val="single" w:color="000000" w:sz="4" w:space="0"/>
              <w:left w:val="single" w:color="000000" w:sz="4" w:space="0"/>
              <w:right w:val="single" w:color="000000" w:sz="4" w:space="0"/>
            </w:tcBorders>
            <w:shd w:val="clear" w:color="auto" w:fill="auto"/>
            <w:noWrap/>
            <w:vAlign w:val="center"/>
          </w:tcPr>
          <w:p w14:paraId="42CDDC3E">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4.27</w:t>
            </w:r>
          </w:p>
        </w:tc>
        <w:tc>
          <w:tcPr>
            <w:tcW w:w="1390" w:type="dxa"/>
            <w:tcBorders>
              <w:top w:val="single" w:color="000000" w:sz="4" w:space="0"/>
              <w:left w:val="single" w:color="000000" w:sz="4" w:space="0"/>
              <w:right w:val="single" w:color="000000" w:sz="4" w:space="0"/>
            </w:tcBorders>
            <w:shd w:val="clear" w:color="auto" w:fill="auto"/>
            <w:noWrap/>
            <w:vAlign w:val="center"/>
          </w:tcPr>
          <w:p w14:paraId="7FAC3375">
            <w:pPr>
              <w:keepNext w:val="0"/>
              <w:keepLines w:val="0"/>
              <w:widowControl/>
              <w:suppressLineNumbers w:val="0"/>
              <w:jc w:val="righ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25394.23</w:t>
            </w:r>
          </w:p>
        </w:tc>
        <w:tc>
          <w:tcPr>
            <w:tcW w:w="1078" w:type="dxa"/>
            <w:tcBorders>
              <w:top w:val="single" w:color="000000" w:sz="4" w:space="0"/>
              <w:left w:val="single" w:color="000000" w:sz="4" w:space="0"/>
              <w:tl2br w:val="nil"/>
              <w:tr2bl w:val="nil"/>
            </w:tcBorders>
            <w:shd w:val="clear" w:color="auto" w:fill="auto"/>
            <w:noWrap/>
            <w:vAlign w:val="center"/>
          </w:tcPr>
          <w:p w14:paraId="7553E430">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5.24</w:t>
            </w:r>
          </w:p>
        </w:tc>
      </w:tr>
      <w:tr w14:paraId="4A62C347">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712701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食品烟酒</w:t>
            </w:r>
          </w:p>
        </w:tc>
        <w:tc>
          <w:tcPr>
            <w:tcW w:w="1390" w:type="dxa"/>
            <w:tcBorders>
              <w:left w:val="single" w:color="000000" w:sz="4" w:space="0"/>
              <w:right w:val="single" w:color="000000" w:sz="4" w:space="0"/>
            </w:tcBorders>
            <w:shd w:val="clear" w:color="auto" w:fill="auto"/>
            <w:noWrap/>
            <w:vAlign w:val="center"/>
          </w:tcPr>
          <w:p w14:paraId="462C72A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10785.20</w:t>
            </w:r>
          </w:p>
        </w:tc>
        <w:tc>
          <w:tcPr>
            <w:tcW w:w="1865" w:type="dxa"/>
            <w:tcBorders>
              <w:left w:val="single" w:color="000000" w:sz="4" w:space="0"/>
              <w:right w:val="single" w:color="000000" w:sz="4" w:space="0"/>
            </w:tcBorders>
            <w:shd w:val="clear" w:color="auto" w:fill="auto"/>
            <w:noWrap/>
            <w:vAlign w:val="center"/>
          </w:tcPr>
          <w:p w14:paraId="3E51D87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0.63</w:t>
            </w:r>
          </w:p>
        </w:tc>
        <w:tc>
          <w:tcPr>
            <w:tcW w:w="1390" w:type="dxa"/>
            <w:tcBorders>
              <w:left w:val="single" w:color="000000" w:sz="4" w:space="0"/>
              <w:right w:val="single" w:color="000000" w:sz="4" w:space="0"/>
            </w:tcBorders>
            <w:shd w:val="clear" w:color="auto" w:fill="auto"/>
            <w:noWrap/>
            <w:vAlign w:val="center"/>
          </w:tcPr>
          <w:p w14:paraId="6C5DE97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7741.62</w:t>
            </w:r>
          </w:p>
        </w:tc>
        <w:tc>
          <w:tcPr>
            <w:tcW w:w="1078" w:type="dxa"/>
            <w:tcBorders>
              <w:left w:val="single" w:color="000000" w:sz="4" w:space="0"/>
              <w:tl2br w:val="nil"/>
              <w:tr2bl w:val="nil"/>
            </w:tcBorders>
            <w:shd w:val="clear" w:color="auto" w:fill="auto"/>
            <w:noWrap/>
            <w:vAlign w:val="center"/>
          </w:tcPr>
          <w:p w14:paraId="027B28F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2.89</w:t>
            </w:r>
          </w:p>
        </w:tc>
      </w:tr>
      <w:tr w14:paraId="0FD750CE">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398018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衣着</w:t>
            </w:r>
          </w:p>
        </w:tc>
        <w:tc>
          <w:tcPr>
            <w:tcW w:w="1390" w:type="dxa"/>
            <w:tcBorders>
              <w:left w:val="single" w:color="000000" w:sz="4" w:space="0"/>
              <w:right w:val="single" w:color="000000" w:sz="4" w:space="0"/>
            </w:tcBorders>
            <w:shd w:val="clear" w:color="auto" w:fill="auto"/>
            <w:noWrap/>
            <w:vAlign w:val="center"/>
          </w:tcPr>
          <w:p w14:paraId="3F4E638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3136.57</w:t>
            </w:r>
          </w:p>
        </w:tc>
        <w:tc>
          <w:tcPr>
            <w:tcW w:w="1865" w:type="dxa"/>
            <w:tcBorders>
              <w:left w:val="single" w:color="000000" w:sz="4" w:space="0"/>
              <w:right w:val="single" w:color="000000" w:sz="4" w:space="0"/>
            </w:tcBorders>
            <w:shd w:val="clear" w:color="auto" w:fill="auto"/>
            <w:noWrap/>
            <w:vAlign w:val="center"/>
          </w:tcPr>
          <w:p w14:paraId="690BA48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0.58</w:t>
            </w:r>
          </w:p>
        </w:tc>
        <w:tc>
          <w:tcPr>
            <w:tcW w:w="1390" w:type="dxa"/>
            <w:tcBorders>
              <w:left w:val="single" w:color="000000" w:sz="4" w:space="0"/>
              <w:right w:val="single" w:color="000000" w:sz="4" w:space="0"/>
            </w:tcBorders>
            <w:shd w:val="clear" w:color="auto" w:fill="auto"/>
            <w:noWrap/>
            <w:vAlign w:val="center"/>
          </w:tcPr>
          <w:p w14:paraId="184766FD">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2018.14</w:t>
            </w:r>
          </w:p>
        </w:tc>
        <w:tc>
          <w:tcPr>
            <w:tcW w:w="1078" w:type="dxa"/>
            <w:tcBorders>
              <w:left w:val="single" w:color="000000" w:sz="4" w:space="0"/>
              <w:tl2br w:val="nil"/>
              <w:tr2bl w:val="nil"/>
            </w:tcBorders>
            <w:shd w:val="clear" w:color="auto" w:fill="auto"/>
            <w:noWrap/>
            <w:vAlign w:val="center"/>
          </w:tcPr>
          <w:p w14:paraId="1F28CC0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6.28</w:t>
            </w:r>
          </w:p>
        </w:tc>
      </w:tr>
      <w:tr w14:paraId="74A6E652">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664AA0E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居住</w:t>
            </w:r>
          </w:p>
        </w:tc>
        <w:tc>
          <w:tcPr>
            <w:tcW w:w="1390" w:type="dxa"/>
            <w:tcBorders>
              <w:left w:val="single" w:color="000000" w:sz="4" w:space="0"/>
              <w:right w:val="single" w:color="000000" w:sz="4" w:space="0"/>
            </w:tcBorders>
            <w:shd w:val="clear" w:color="auto" w:fill="auto"/>
            <w:noWrap/>
            <w:vAlign w:val="center"/>
          </w:tcPr>
          <w:p w14:paraId="481D272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5215.94</w:t>
            </w:r>
          </w:p>
        </w:tc>
        <w:tc>
          <w:tcPr>
            <w:tcW w:w="1865" w:type="dxa"/>
            <w:tcBorders>
              <w:left w:val="single" w:color="000000" w:sz="4" w:space="0"/>
              <w:right w:val="single" w:color="000000" w:sz="4" w:space="0"/>
            </w:tcBorders>
            <w:shd w:val="clear" w:color="auto" w:fill="auto"/>
            <w:noWrap/>
            <w:vAlign w:val="center"/>
          </w:tcPr>
          <w:p w14:paraId="7037425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5.15</w:t>
            </w:r>
          </w:p>
        </w:tc>
        <w:tc>
          <w:tcPr>
            <w:tcW w:w="1390" w:type="dxa"/>
            <w:tcBorders>
              <w:left w:val="single" w:color="000000" w:sz="4" w:space="0"/>
              <w:right w:val="single" w:color="000000" w:sz="4" w:space="0"/>
            </w:tcBorders>
            <w:shd w:val="clear" w:color="auto" w:fill="auto"/>
            <w:noWrap/>
            <w:vAlign w:val="center"/>
          </w:tcPr>
          <w:p w14:paraId="3158C46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2909.51</w:t>
            </w:r>
          </w:p>
        </w:tc>
        <w:tc>
          <w:tcPr>
            <w:tcW w:w="1078" w:type="dxa"/>
            <w:tcBorders>
              <w:left w:val="single" w:color="000000" w:sz="4" w:space="0"/>
              <w:tl2br w:val="nil"/>
              <w:tr2bl w:val="nil"/>
            </w:tcBorders>
            <w:shd w:val="clear" w:color="auto" w:fill="auto"/>
            <w:noWrap/>
            <w:vAlign w:val="center"/>
          </w:tcPr>
          <w:p w14:paraId="6FE0E05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1.07</w:t>
            </w:r>
          </w:p>
        </w:tc>
      </w:tr>
      <w:tr w14:paraId="29F6D4BB">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3219A99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生活用品及服务</w:t>
            </w:r>
          </w:p>
        </w:tc>
        <w:tc>
          <w:tcPr>
            <w:tcW w:w="1390" w:type="dxa"/>
            <w:tcBorders>
              <w:left w:val="single" w:color="000000" w:sz="4" w:space="0"/>
              <w:right w:val="single" w:color="000000" w:sz="4" w:space="0"/>
            </w:tcBorders>
            <w:shd w:val="clear" w:color="auto" w:fill="auto"/>
            <w:noWrap/>
            <w:vAlign w:val="center"/>
          </w:tcPr>
          <w:p w14:paraId="2405269B">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3021.07</w:t>
            </w:r>
          </w:p>
        </w:tc>
        <w:tc>
          <w:tcPr>
            <w:tcW w:w="1865" w:type="dxa"/>
            <w:tcBorders>
              <w:left w:val="single" w:color="000000" w:sz="4" w:space="0"/>
              <w:right w:val="single" w:color="000000" w:sz="4" w:space="0"/>
            </w:tcBorders>
            <w:shd w:val="clear" w:color="auto" w:fill="auto"/>
            <w:noWrap/>
            <w:vAlign w:val="center"/>
          </w:tcPr>
          <w:p w14:paraId="18FDC62E">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7.46</w:t>
            </w:r>
          </w:p>
        </w:tc>
        <w:tc>
          <w:tcPr>
            <w:tcW w:w="1390" w:type="dxa"/>
            <w:tcBorders>
              <w:left w:val="single" w:color="000000" w:sz="4" w:space="0"/>
              <w:right w:val="single" w:color="000000" w:sz="4" w:space="0"/>
            </w:tcBorders>
            <w:shd w:val="clear" w:color="auto" w:fill="auto"/>
            <w:noWrap/>
            <w:vAlign w:val="center"/>
          </w:tcPr>
          <w:p w14:paraId="4948893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1514.84</w:t>
            </w:r>
          </w:p>
        </w:tc>
        <w:tc>
          <w:tcPr>
            <w:tcW w:w="1078" w:type="dxa"/>
            <w:tcBorders>
              <w:left w:val="single" w:color="000000" w:sz="4" w:space="0"/>
              <w:tl2br w:val="nil"/>
              <w:tr2bl w:val="nil"/>
            </w:tcBorders>
            <w:shd w:val="clear" w:color="auto" w:fill="auto"/>
            <w:noWrap/>
            <w:vAlign w:val="center"/>
          </w:tcPr>
          <w:p w14:paraId="221831A5">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5.33</w:t>
            </w:r>
          </w:p>
        </w:tc>
      </w:tr>
      <w:tr w14:paraId="635163D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613379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交通通信</w:t>
            </w:r>
          </w:p>
        </w:tc>
        <w:tc>
          <w:tcPr>
            <w:tcW w:w="1390" w:type="dxa"/>
            <w:tcBorders>
              <w:left w:val="single" w:color="000000" w:sz="4" w:space="0"/>
              <w:right w:val="single" w:color="000000" w:sz="4" w:space="0"/>
            </w:tcBorders>
            <w:shd w:val="clear" w:color="auto" w:fill="auto"/>
            <w:noWrap/>
            <w:vAlign w:val="center"/>
          </w:tcPr>
          <w:p w14:paraId="074BDB9F">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6330.58</w:t>
            </w:r>
          </w:p>
        </w:tc>
        <w:tc>
          <w:tcPr>
            <w:tcW w:w="1865" w:type="dxa"/>
            <w:tcBorders>
              <w:left w:val="single" w:color="000000" w:sz="4" w:space="0"/>
              <w:right w:val="single" w:color="000000" w:sz="4" w:space="0"/>
            </w:tcBorders>
            <w:shd w:val="clear" w:color="auto" w:fill="auto"/>
            <w:noWrap/>
            <w:vAlign w:val="center"/>
          </w:tcPr>
          <w:p w14:paraId="2CA65E1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390" w:type="dxa"/>
            <w:tcBorders>
              <w:left w:val="single" w:color="000000" w:sz="4" w:space="0"/>
              <w:right w:val="single" w:color="000000" w:sz="4" w:space="0"/>
            </w:tcBorders>
            <w:shd w:val="clear" w:color="auto" w:fill="auto"/>
            <w:noWrap/>
            <w:vAlign w:val="center"/>
          </w:tcPr>
          <w:p w14:paraId="6F2C1CE1">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5464.64</w:t>
            </w:r>
          </w:p>
        </w:tc>
        <w:tc>
          <w:tcPr>
            <w:tcW w:w="1078" w:type="dxa"/>
            <w:tcBorders>
              <w:left w:val="single" w:color="000000" w:sz="4" w:space="0"/>
              <w:tl2br w:val="nil"/>
              <w:tr2bl w:val="nil"/>
            </w:tcBorders>
            <w:shd w:val="clear" w:color="auto" w:fill="auto"/>
            <w:noWrap/>
            <w:vAlign w:val="center"/>
          </w:tcPr>
          <w:p w14:paraId="0E6BE11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8.77</w:t>
            </w:r>
          </w:p>
        </w:tc>
      </w:tr>
      <w:tr w14:paraId="31C0A826">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443EB3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教育文化娱乐</w:t>
            </w:r>
          </w:p>
        </w:tc>
        <w:tc>
          <w:tcPr>
            <w:tcW w:w="1390" w:type="dxa"/>
            <w:tcBorders>
              <w:left w:val="single" w:color="000000" w:sz="4" w:space="0"/>
              <w:right w:val="single" w:color="000000" w:sz="4" w:space="0"/>
            </w:tcBorders>
            <w:shd w:val="clear" w:color="auto" w:fill="auto"/>
            <w:noWrap/>
            <w:vAlign w:val="center"/>
          </w:tcPr>
          <w:p w14:paraId="579B5CE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5089.43</w:t>
            </w:r>
          </w:p>
        </w:tc>
        <w:tc>
          <w:tcPr>
            <w:tcW w:w="1865" w:type="dxa"/>
            <w:tcBorders>
              <w:left w:val="single" w:color="000000" w:sz="4" w:space="0"/>
              <w:right w:val="single" w:color="000000" w:sz="4" w:space="0"/>
            </w:tcBorders>
            <w:shd w:val="clear" w:color="auto" w:fill="auto"/>
            <w:noWrap/>
            <w:vAlign w:val="center"/>
          </w:tcPr>
          <w:p w14:paraId="540BF8E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1.62</w:t>
            </w:r>
          </w:p>
        </w:tc>
        <w:tc>
          <w:tcPr>
            <w:tcW w:w="1390" w:type="dxa"/>
            <w:tcBorders>
              <w:left w:val="single" w:color="000000" w:sz="4" w:space="0"/>
              <w:right w:val="single" w:color="000000" w:sz="4" w:space="0"/>
            </w:tcBorders>
            <w:shd w:val="clear" w:color="auto" w:fill="auto"/>
            <w:noWrap/>
            <w:vAlign w:val="center"/>
          </w:tcPr>
          <w:p w14:paraId="0107260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3166.02</w:t>
            </w:r>
          </w:p>
        </w:tc>
        <w:tc>
          <w:tcPr>
            <w:tcW w:w="1078" w:type="dxa"/>
            <w:tcBorders>
              <w:left w:val="single" w:color="000000" w:sz="4" w:space="0"/>
              <w:tl2br w:val="nil"/>
              <w:tr2bl w:val="nil"/>
            </w:tcBorders>
            <w:shd w:val="clear" w:color="auto" w:fill="auto"/>
            <w:noWrap/>
            <w:vAlign w:val="center"/>
          </w:tcPr>
          <w:p w14:paraId="60066560">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6.84</w:t>
            </w:r>
          </w:p>
        </w:tc>
      </w:tr>
      <w:tr w14:paraId="44C01DEA">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497" w:type="dxa"/>
            <w:tcBorders>
              <w:right w:val="single" w:color="000000" w:sz="4" w:space="0"/>
            </w:tcBorders>
            <w:shd w:val="clear" w:color="auto" w:fill="auto"/>
            <w:noWrap/>
            <w:vAlign w:val="center"/>
          </w:tcPr>
          <w:p w14:paraId="6C9EFA4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医疗保健</w:t>
            </w:r>
          </w:p>
        </w:tc>
        <w:tc>
          <w:tcPr>
            <w:tcW w:w="1390" w:type="dxa"/>
            <w:tcBorders>
              <w:left w:val="single" w:color="000000" w:sz="4" w:space="0"/>
              <w:right w:val="single" w:color="000000" w:sz="4" w:space="0"/>
            </w:tcBorders>
            <w:shd w:val="clear" w:color="auto" w:fill="auto"/>
            <w:noWrap/>
            <w:vAlign w:val="center"/>
          </w:tcPr>
          <w:p w14:paraId="5349CAF9">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3485.50</w:t>
            </w:r>
          </w:p>
        </w:tc>
        <w:tc>
          <w:tcPr>
            <w:tcW w:w="1865" w:type="dxa"/>
            <w:tcBorders>
              <w:left w:val="single" w:color="000000" w:sz="4" w:space="0"/>
              <w:right w:val="single" w:color="000000" w:sz="4" w:space="0"/>
            </w:tcBorders>
            <w:shd w:val="clear" w:color="auto" w:fill="auto"/>
            <w:noWrap/>
            <w:vAlign w:val="center"/>
          </w:tcPr>
          <w:p w14:paraId="025AFAD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8.6</w:t>
            </w:r>
          </w:p>
        </w:tc>
        <w:tc>
          <w:tcPr>
            <w:tcW w:w="1390" w:type="dxa"/>
            <w:tcBorders>
              <w:left w:val="single" w:color="000000" w:sz="4" w:space="0"/>
              <w:right w:val="single" w:color="000000" w:sz="4" w:space="0"/>
            </w:tcBorders>
            <w:shd w:val="clear" w:color="auto" w:fill="auto"/>
            <w:noWrap/>
            <w:vAlign w:val="center"/>
          </w:tcPr>
          <w:p w14:paraId="105B1BDA">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2160.46</w:t>
            </w:r>
          </w:p>
        </w:tc>
        <w:tc>
          <w:tcPr>
            <w:tcW w:w="1078" w:type="dxa"/>
            <w:tcBorders>
              <w:left w:val="single" w:color="000000" w:sz="4" w:space="0"/>
              <w:tl2br w:val="nil"/>
              <w:tr2bl w:val="nil"/>
            </w:tcBorders>
            <w:shd w:val="clear" w:color="auto" w:fill="auto"/>
            <w:noWrap/>
            <w:vAlign w:val="center"/>
          </w:tcPr>
          <w:p w14:paraId="39939F93">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8.09</w:t>
            </w:r>
          </w:p>
        </w:tc>
      </w:tr>
      <w:tr w14:paraId="33FE8F99">
        <w:tblPrEx>
          <w:tblBorders>
            <w:top w:val="single" w:color="000000" w:sz="4" w:space="0"/>
            <w:left w:val="none" w:color="auto" w:sz="0" w:space="0"/>
            <w:bottom w:val="single" w:color="000000" w:sz="4"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497" w:type="dxa"/>
            <w:tcBorders>
              <w:right w:val="single" w:color="000000" w:sz="4" w:space="0"/>
            </w:tcBorders>
            <w:shd w:val="clear" w:color="auto" w:fill="auto"/>
            <w:noWrap/>
            <w:vAlign w:val="center"/>
          </w:tcPr>
          <w:p w14:paraId="58F1060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其他用品和服务</w:t>
            </w:r>
          </w:p>
        </w:tc>
        <w:tc>
          <w:tcPr>
            <w:tcW w:w="1390" w:type="dxa"/>
            <w:tcBorders>
              <w:left w:val="single" w:color="000000" w:sz="4" w:space="0"/>
              <w:right w:val="single" w:color="000000" w:sz="4" w:space="0"/>
            </w:tcBorders>
            <w:shd w:val="clear" w:color="auto" w:fill="auto"/>
            <w:noWrap/>
            <w:vAlign w:val="center"/>
          </w:tcPr>
          <w:p w14:paraId="681B531C">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1155.07</w:t>
            </w:r>
          </w:p>
        </w:tc>
        <w:tc>
          <w:tcPr>
            <w:tcW w:w="1865" w:type="dxa"/>
            <w:tcBorders>
              <w:left w:val="single" w:color="000000" w:sz="4" w:space="0"/>
              <w:right w:val="single" w:color="000000" w:sz="4" w:space="0"/>
            </w:tcBorders>
            <w:shd w:val="clear" w:color="auto" w:fill="auto"/>
            <w:noWrap/>
            <w:vAlign w:val="center"/>
          </w:tcPr>
          <w:p w14:paraId="717C52F2">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7.64</w:t>
            </w:r>
          </w:p>
        </w:tc>
        <w:tc>
          <w:tcPr>
            <w:tcW w:w="1390" w:type="dxa"/>
            <w:tcBorders>
              <w:left w:val="single" w:color="000000" w:sz="4" w:space="0"/>
              <w:right w:val="single" w:color="000000" w:sz="4" w:space="0"/>
            </w:tcBorders>
            <w:shd w:val="clear" w:color="auto" w:fill="auto"/>
            <w:noWrap/>
            <w:vAlign w:val="center"/>
          </w:tcPr>
          <w:p w14:paraId="3908D644">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418.89</w:t>
            </w:r>
          </w:p>
        </w:tc>
        <w:tc>
          <w:tcPr>
            <w:tcW w:w="1078" w:type="dxa"/>
            <w:tcBorders>
              <w:left w:val="single" w:color="000000" w:sz="4" w:space="0"/>
              <w:tl2br w:val="nil"/>
              <w:tr2bl w:val="nil"/>
            </w:tcBorders>
            <w:shd w:val="clear" w:color="auto" w:fill="auto"/>
            <w:noWrap/>
            <w:vAlign w:val="center"/>
          </w:tcPr>
          <w:p w14:paraId="76FF7C36">
            <w:pPr>
              <w:keepNext w:val="0"/>
              <w:keepLines w:val="0"/>
              <w:widowControl/>
              <w:suppressLineNumbers w:val="0"/>
              <w:jc w:val="righ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4.01</w:t>
            </w:r>
          </w:p>
        </w:tc>
      </w:tr>
    </w:tbl>
    <w:p w14:paraId="2DAFD6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highlight w:val="none"/>
        </w:rPr>
      </w:pPr>
    </w:p>
    <w:p w14:paraId="6CE822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社会保障：</w:t>
      </w:r>
      <w:r>
        <w:rPr>
          <w:rFonts w:hint="eastAsia" w:ascii="仿宋_GB2312" w:hAnsi="仿宋_GB2312" w:eastAsia="仿宋_GB2312" w:cs="仿宋_GB2312"/>
          <w:color w:val="auto"/>
          <w:sz w:val="32"/>
          <w:szCs w:val="32"/>
          <w:highlight w:val="none"/>
        </w:rPr>
        <w:t>企业职工养老保险基金累计收入</w:t>
      </w:r>
      <w:r>
        <w:rPr>
          <w:rFonts w:hint="eastAsia" w:ascii="仿宋_GB2312" w:hAnsi="仿宋_GB2312" w:eastAsia="仿宋_GB2312" w:cs="仿宋_GB2312"/>
          <w:color w:val="auto"/>
          <w:sz w:val="32"/>
          <w:szCs w:val="32"/>
          <w:highlight w:val="none"/>
          <w:lang w:val="en-US" w:eastAsia="zh-CN"/>
        </w:rPr>
        <w:t>4146.17</w:t>
      </w:r>
      <w:r>
        <w:rPr>
          <w:rFonts w:hint="eastAsia" w:ascii="仿宋_GB2312" w:hAnsi="仿宋_GB2312" w:eastAsia="仿宋_GB2312" w:cs="仿宋_GB2312"/>
          <w:color w:val="auto"/>
          <w:sz w:val="32"/>
          <w:szCs w:val="32"/>
          <w:highlight w:val="none"/>
        </w:rPr>
        <w:t>万元、失业保险基金累计收入</w:t>
      </w:r>
      <w:r>
        <w:rPr>
          <w:rFonts w:hint="eastAsia" w:ascii="仿宋_GB2312" w:hAnsi="仿宋_GB2312" w:eastAsia="仿宋_GB2312" w:cs="仿宋_GB2312"/>
          <w:color w:val="auto"/>
          <w:sz w:val="32"/>
          <w:szCs w:val="32"/>
          <w:highlight w:val="none"/>
          <w:lang w:val="en-US" w:eastAsia="zh-CN"/>
        </w:rPr>
        <w:t>411.14</w:t>
      </w:r>
      <w:r>
        <w:rPr>
          <w:rFonts w:hint="eastAsia" w:ascii="仿宋_GB2312" w:hAnsi="仿宋_GB2312" w:eastAsia="仿宋_GB2312" w:cs="仿宋_GB2312"/>
          <w:color w:val="auto"/>
          <w:sz w:val="32"/>
          <w:szCs w:val="32"/>
          <w:highlight w:val="none"/>
        </w:rPr>
        <w:t>万元、工伤保险基金累计收入</w:t>
      </w:r>
      <w:r>
        <w:rPr>
          <w:rFonts w:hint="eastAsia" w:ascii="仿宋_GB2312" w:hAnsi="仿宋_GB2312" w:eastAsia="仿宋_GB2312" w:cs="仿宋_GB2312"/>
          <w:color w:val="auto"/>
          <w:sz w:val="32"/>
          <w:szCs w:val="32"/>
          <w:highlight w:val="none"/>
          <w:lang w:val="en-US" w:eastAsia="zh-CN"/>
        </w:rPr>
        <w:t>463.34</w:t>
      </w:r>
      <w:r>
        <w:rPr>
          <w:rFonts w:hint="eastAsia" w:ascii="仿宋_GB2312" w:hAnsi="仿宋_GB2312" w:eastAsia="仿宋_GB2312" w:cs="仿宋_GB2312"/>
          <w:color w:val="auto"/>
          <w:sz w:val="32"/>
          <w:szCs w:val="32"/>
          <w:highlight w:val="none"/>
        </w:rPr>
        <w:t>万元；企业职工养老保险基金累计支出</w:t>
      </w:r>
      <w:r>
        <w:rPr>
          <w:rFonts w:hint="eastAsia" w:ascii="仿宋_GB2312" w:hAnsi="仿宋_GB2312" w:eastAsia="仿宋_GB2312" w:cs="仿宋_GB2312"/>
          <w:color w:val="auto"/>
          <w:sz w:val="32"/>
          <w:szCs w:val="32"/>
          <w:highlight w:val="none"/>
          <w:lang w:val="en-US" w:eastAsia="zh-CN"/>
        </w:rPr>
        <w:t>5557.61</w:t>
      </w:r>
      <w:r>
        <w:rPr>
          <w:rFonts w:hint="eastAsia" w:ascii="仿宋_GB2312" w:hAnsi="仿宋_GB2312" w:eastAsia="仿宋_GB2312" w:cs="仿宋_GB2312"/>
          <w:color w:val="auto"/>
          <w:sz w:val="32"/>
          <w:szCs w:val="32"/>
          <w:highlight w:val="none"/>
        </w:rPr>
        <w:t>万元、失业保险</w:t>
      </w:r>
      <w:r>
        <w:rPr>
          <w:rFonts w:hint="eastAsia" w:ascii="仿宋_GB2312" w:hAnsi="仿宋_GB2312" w:eastAsia="仿宋_GB2312" w:cs="仿宋_GB2312"/>
          <w:color w:val="auto"/>
          <w:sz w:val="32"/>
          <w:szCs w:val="32"/>
          <w:highlight w:val="none"/>
          <w:lang w:eastAsia="zh-CN"/>
        </w:rPr>
        <w:t>基</w:t>
      </w:r>
      <w:r>
        <w:rPr>
          <w:rFonts w:hint="eastAsia" w:ascii="仿宋_GB2312" w:hAnsi="仿宋_GB2312" w:eastAsia="仿宋_GB2312" w:cs="仿宋_GB2312"/>
          <w:color w:val="auto"/>
          <w:sz w:val="32"/>
          <w:szCs w:val="32"/>
          <w:highlight w:val="none"/>
        </w:rPr>
        <w:t>金累计支出</w:t>
      </w:r>
      <w:r>
        <w:rPr>
          <w:rFonts w:hint="eastAsia" w:ascii="仿宋_GB2312" w:hAnsi="仿宋_GB2312" w:eastAsia="仿宋_GB2312" w:cs="仿宋_GB2312"/>
          <w:color w:val="auto"/>
          <w:sz w:val="32"/>
          <w:szCs w:val="32"/>
          <w:highlight w:val="none"/>
          <w:lang w:val="en-US" w:eastAsia="zh-CN"/>
        </w:rPr>
        <w:t>112.0</w:t>
      </w:r>
      <w:r>
        <w:rPr>
          <w:rFonts w:hint="eastAsia" w:ascii="仿宋_GB2312" w:hAnsi="仿宋_GB2312" w:eastAsia="仿宋_GB2312" w:cs="仿宋_GB2312"/>
          <w:color w:val="auto"/>
          <w:sz w:val="32"/>
          <w:szCs w:val="32"/>
          <w:highlight w:val="none"/>
        </w:rPr>
        <w:t>2万元、工伤保险基金累计支出</w:t>
      </w:r>
      <w:r>
        <w:rPr>
          <w:rFonts w:hint="eastAsia" w:ascii="仿宋_GB2312" w:hAnsi="仿宋_GB2312" w:eastAsia="仿宋_GB2312" w:cs="仿宋_GB2312"/>
          <w:color w:val="auto"/>
          <w:sz w:val="32"/>
          <w:szCs w:val="32"/>
          <w:highlight w:val="none"/>
          <w:lang w:val="en-US" w:eastAsia="zh-CN"/>
        </w:rPr>
        <w:t>420.23</w:t>
      </w:r>
      <w:r>
        <w:rPr>
          <w:rFonts w:hint="eastAsia" w:ascii="仿宋_GB2312" w:hAnsi="仿宋_GB2312" w:eastAsia="仿宋_GB2312" w:cs="仿宋_GB2312"/>
          <w:color w:val="auto"/>
          <w:sz w:val="32"/>
          <w:szCs w:val="32"/>
          <w:highlight w:val="none"/>
        </w:rPr>
        <w:t>万元。年底城乡居民社会养老保险参保人数</w:t>
      </w:r>
      <w:r>
        <w:rPr>
          <w:rFonts w:hint="eastAsia" w:ascii="仿宋_GB2312" w:hAnsi="仿宋_GB2312" w:eastAsia="仿宋_GB2312" w:cs="仿宋_GB2312"/>
          <w:color w:val="auto"/>
          <w:sz w:val="32"/>
          <w:szCs w:val="32"/>
          <w:highlight w:val="none"/>
          <w:lang w:val="en-US" w:eastAsia="zh-CN"/>
        </w:rPr>
        <w:t>18334</w:t>
      </w:r>
      <w:r>
        <w:rPr>
          <w:rFonts w:hint="eastAsia" w:ascii="仿宋_GB2312" w:hAnsi="仿宋_GB2312" w:eastAsia="仿宋_GB2312" w:cs="仿宋_GB2312"/>
          <w:color w:val="auto"/>
          <w:sz w:val="32"/>
          <w:szCs w:val="32"/>
          <w:highlight w:val="none"/>
        </w:rPr>
        <w:t>人，参保率达100%。城乡居民养老保险社会化发放率达100%，企业退休人员养老金社会化发放率达100%。</w:t>
      </w:r>
    </w:p>
    <w:p w14:paraId="4C423D85">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16"/>
        <w:jc w:val="left"/>
        <w:textAlignment w:val="auto"/>
      </w:pPr>
      <w:r>
        <w:rPr>
          <w:rFonts w:ascii="仿宋_GB2312" w:eastAsia="仿宋_GB2312" w:cs="仿宋_GB2312"/>
          <w:color w:val="000000"/>
          <w:spacing w:val="-6"/>
          <w:sz w:val="32"/>
          <w:szCs w:val="32"/>
          <w:shd w:val="clear" w:fill="FFFFFF"/>
        </w:rPr>
        <w:t>2024年度，全县</w:t>
      </w:r>
      <w:r>
        <w:rPr>
          <w:rFonts w:hint="eastAsia" w:ascii="仿宋_GB2312" w:eastAsia="仿宋_GB2312" w:cs="仿宋_GB2312"/>
          <w:color w:val="000000"/>
          <w:spacing w:val="-6"/>
          <w:sz w:val="32"/>
          <w:szCs w:val="32"/>
          <w:shd w:val="clear" w:fill="FFFFFF"/>
          <w:lang w:val="en-US" w:eastAsia="zh-CN"/>
        </w:rPr>
        <w:t>共</w:t>
      </w:r>
      <w:r>
        <w:rPr>
          <w:rFonts w:ascii="仿宋_GB2312" w:eastAsia="仿宋_GB2312" w:cs="仿宋_GB2312"/>
          <w:color w:val="000000"/>
          <w:spacing w:val="-6"/>
          <w:sz w:val="32"/>
          <w:szCs w:val="32"/>
          <w:shd w:val="clear" w:fill="FFFFFF"/>
        </w:rPr>
        <w:t>有28355人参加城乡居民医疗保险，参保率98.05%，参加城镇职工医疗保险7449人。持续巩固拓展脱贫攻坚成果</w:t>
      </w:r>
      <w:r>
        <w:rPr>
          <w:rFonts w:hint="eastAsia" w:ascii="仿宋_GB2312" w:eastAsia="仿宋_GB2312" w:cs="仿宋_GB2312"/>
          <w:color w:val="000000"/>
          <w:spacing w:val="-6"/>
          <w:sz w:val="32"/>
          <w:szCs w:val="32"/>
          <w:shd w:val="clear" w:fill="FFFFFF"/>
          <w:lang w:val="en-US" w:eastAsia="zh-CN"/>
        </w:rPr>
        <w:t>同</w:t>
      </w:r>
      <w:bookmarkStart w:id="4" w:name="_GoBack"/>
      <w:bookmarkEnd w:id="4"/>
      <w:r>
        <w:rPr>
          <w:rFonts w:ascii="仿宋_GB2312" w:eastAsia="仿宋_GB2312" w:cs="仿宋_GB2312"/>
          <w:color w:val="000000"/>
          <w:spacing w:val="-6"/>
          <w:sz w:val="32"/>
          <w:szCs w:val="32"/>
          <w:shd w:val="clear" w:fill="FFFFFF"/>
        </w:rPr>
        <w:t>乡村振兴有效衔接，充分发挥医疗保障</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兜底</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作用，全面完成低收入人群</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参保、资助、待遇享受、一站式结算</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四个100%底线性任务。2024年度累计资助特殊人群4063人（次）107.7万元，资助率达100%。统筹发挥基本医疗保险、大病保险、医疗救助三重保障制度综合梯次减负功能，特殊人群住院基本医疗报销2393人次，报销金额830.43万元；大病保险报销3192人次，报销金额200.46万元；医疗救助16932人次，报销金额440.42万元，政策范围内报销比例达到98.9%，落实依申请救助164人90.41万元。18项事项接入</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甘快办</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平台，25项高频服务事项实现</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网上办</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掌上办</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，医保服务事项办结时限压缩近70％</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异地就医跨省直接结算率达88％、省内结算率达97％。新认领省上下发6项事项系统并编制清单。医保电子凭证激活率达98.48%，医保电子凭证结算率达47.52%</w:t>
      </w:r>
      <w:r>
        <w:rPr>
          <w:rFonts w:hint="eastAsia" w:ascii="仿宋_GB2312" w:eastAsia="仿宋_GB2312" w:cs="仿宋_GB2312"/>
          <w:color w:val="000000"/>
          <w:spacing w:val="-6"/>
          <w:sz w:val="32"/>
          <w:szCs w:val="32"/>
          <w:shd w:val="clear" w:fill="FFFFFF"/>
          <w:lang w:eastAsia="zh-CN"/>
        </w:rPr>
        <w:t>。</w:t>
      </w:r>
      <w:r>
        <w:rPr>
          <w:rFonts w:ascii="仿宋_GB2312" w:eastAsia="仿宋_GB2312" w:cs="仿宋_GB2312"/>
          <w:color w:val="000000"/>
          <w:spacing w:val="-6"/>
          <w:sz w:val="32"/>
          <w:szCs w:val="32"/>
          <w:shd w:val="clear" w:fill="FFFFFF"/>
        </w:rPr>
        <w:t>截止目前，我县开展住院医疗服务且符合开展DIP付费条件的8家医疗机构已全部纳入DIP结算，实现全覆盖。积极推动落实国家组织药品、高值耗材集中带量采购工作，完成25批集采任务，高值耗材价格平均降幅达50%以上，群众就医负担进一步减轻。</w:t>
      </w:r>
    </w:p>
    <w:p w14:paraId="7BC4FF65">
      <w:pPr>
        <w:keepNext w:val="0"/>
        <w:keepLines w:val="0"/>
        <w:pageBreakBefore w:val="0"/>
        <w:kinsoku/>
        <w:wordWrap/>
        <w:overflowPunct/>
        <w:topLinePunct w:val="0"/>
        <w:autoSpaceDE/>
        <w:autoSpaceDN/>
        <w:bidi w:val="0"/>
        <w:adjustRightInd/>
        <w:snapToGrid/>
        <w:spacing w:line="560" w:lineRule="exact"/>
        <w:ind w:firstLine="616" w:firstLineChars="200"/>
        <w:textAlignment w:val="auto"/>
        <w:rPr>
          <w:rFonts w:hint="eastAsia"/>
          <w:color w:val="auto"/>
        </w:rPr>
      </w:pPr>
      <w:r>
        <w:rPr>
          <w:rFonts w:hint="eastAsia" w:ascii="仿宋_GB2312" w:hAnsi="仿宋_GB2312" w:eastAsia="仿宋_GB2312" w:cs="仿宋_GB2312"/>
          <w:vanish w:val="0"/>
          <w:color w:val="auto"/>
          <w:spacing w:val="-6"/>
          <w:w w:val="100"/>
          <w:sz w:val="32"/>
          <w:szCs w:val="32"/>
          <w:highlight w:val="none"/>
          <w:u w:val="none"/>
          <w:lang w:eastAsia="zh-CN"/>
        </w:rPr>
        <w:t>202</w:t>
      </w:r>
      <w:r>
        <w:rPr>
          <w:rFonts w:hint="eastAsia" w:ascii="仿宋_GB2312" w:hAnsi="仿宋_GB2312" w:eastAsia="仿宋_GB2312" w:cs="仿宋_GB2312"/>
          <w:vanish w:val="0"/>
          <w:color w:val="auto"/>
          <w:spacing w:val="-6"/>
          <w:w w:val="100"/>
          <w:sz w:val="32"/>
          <w:szCs w:val="32"/>
          <w:highlight w:val="none"/>
          <w:u w:val="none"/>
          <w:lang w:val="en-US" w:eastAsia="zh-CN"/>
        </w:rPr>
        <w:t>4</w:t>
      </w:r>
      <w:r>
        <w:rPr>
          <w:rFonts w:hint="eastAsia" w:ascii="仿宋_GB2312" w:hAnsi="仿宋_GB2312" w:eastAsia="仿宋_GB2312" w:cs="仿宋_GB2312"/>
          <w:vanish w:val="0"/>
          <w:color w:val="auto"/>
          <w:spacing w:val="-6"/>
          <w:w w:val="100"/>
          <w:sz w:val="32"/>
          <w:szCs w:val="32"/>
          <w:highlight w:val="none"/>
          <w:u w:val="none"/>
          <w:lang w:eastAsia="zh-CN"/>
        </w:rPr>
        <w:t>年末全县城镇居民最低生活保障人数33</w:t>
      </w:r>
      <w:r>
        <w:rPr>
          <w:rFonts w:hint="eastAsia" w:ascii="仿宋_GB2312" w:hAnsi="仿宋_GB2312" w:eastAsia="仿宋_GB2312" w:cs="仿宋_GB2312"/>
          <w:vanish w:val="0"/>
          <w:color w:val="auto"/>
          <w:spacing w:val="-6"/>
          <w:w w:val="100"/>
          <w:sz w:val="32"/>
          <w:szCs w:val="32"/>
          <w:highlight w:val="none"/>
          <w:u w:val="none"/>
          <w:lang w:val="en-US" w:eastAsia="zh-CN"/>
        </w:rPr>
        <w:t>1</w:t>
      </w:r>
      <w:r>
        <w:rPr>
          <w:rFonts w:hint="eastAsia" w:ascii="仿宋_GB2312" w:hAnsi="仿宋_GB2312" w:eastAsia="仿宋_GB2312" w:cs="仿宋_GB2312"/>
          <w:vanish w:val="0"/>
          <w:color w:val="auto"/>
          <w:spacing w:val="-6"/>
          <w:w w:val="100"/>
          <w:sz w:val="32"/>
          <w:szCs w:val="32"/>
          <w:highlight w:val="none"/>
          <w:u w:val="none"/>
          <w:lang w:eastAsia="zh-CN"/>
        </w:rPr>
        <w:t>户</w:t>
      </w:r>
      <w:r>
        <w:rPr>
          <w:rFonts w:hint="eastAsia" w:ascii="仿宋_GB2312" w:hAnsi="仿宋_GB2312" w:eastAsia="仿宋_GB2312" w:cs="仿宋_GB2312"/>
          <w:vanish w:val="0"/>
          <w:color w:val="auto"/>
          <w:spacing w:val="-6"/>
          <w:w w:val="100"/>
          <w:sz w:val="32"/>
          <w:szCs w:val="32"/>
          <w:highlight w:val="none"/>
          <w:u w:val="none"/>
          <w:lang w:val="en-US" w:eastAsia="zh-CN"/>
        </w:rPr>
        <w:t>559</w:t>
      </w:r>
      <w:r>
        <w:rPr>
          <w:rFonts w:hint="eastAsia" w:ascii="仿宋_GB2312" w:hAnsi="仿宋_GB2312" w:eastAsia="仿宋_GB2312" w:cs="仿宋_GB2312"/>
          <w:vanish w:val="0"/>
          <w:color w:val="auto"/>
          <w:spacing w:val="-6"/>
          <w:w w:val="100"/>
          <w:sz w:val="32"/>
          <w:szCs w:val="32"/>
          <w:highlight w:val="none"/>
          <w:u w:val="none"/>
          <w:lang w:eastAsia="zh-CN"/>
        </w:rPr>
        <w:t>人，城市低保资金支出</w:t>
      </w:r>
      <w:r>
        <w:rPr>
          <w:rFonts w:hint="eastAsia" w:ascii="仿宋_GB2312" w:hAnsi="仿宋_GB2312" w:eastAsia="仿宋_GB2312" w:cs="仿宋_GB2312"/>
          <w:vanish w:val="0"/>
          <w:color w:val="auto"/>
          <w:spacing w:val="-6"/>
          <w:w w:val="100"/>
          <w:sz w:val="32"/>
          <w:szCs w:val="32"/>
          <w:highlight w:val="none"/>
          <w:u w:val="none"/>
          <w:lang w:val="en-US" w:eastAsia="zh-CN"/>
        </w:rPr>
        <w:t>418.88</w:t>
      </w:r>
      <w:r>
        <w:rPr>
          <w:rFonts w:hint="eastAsia" w:ascii="仿宋_GB2312" w:hAnsi="仿宋_GB2312" w:eastAsia="仿宋_GB2312" w:cs="仿宋_GB2312"/>
          <w:vanish w:val="0"/>
          <w:color w:val="auto"/>
          <w:spacing w:val="-6"/>
          <w:w w:val="100"/>
          <w:sz w:val="32"/>
          <w:szCs w:val="32"/>
          <w:highlight w:val="none"/>
          <w:u w:val="none"/>
          <w:lang w:eastAsia="zh-CN"/>
        </w:rPr>
        <w:t>万元；农牧村居民最低生活保障人数1</w:t>
      </w:r>
      <w:r>
        <w:rPr>
          <w:rFonts w:hint="eastAsia" w:ascii="仿宋_GB2312" w:hAnsi="仿宋_GB2312" w:eastAsia="仿宋_GB2312" w:cs="仿宋_GB2312"/>
          <w:vanish w:val="0"/>
          <w:color w:val="auto"/>
          <w:spacing w:val="-6"/>
          <w:w w:val="100"/>
          <w:sz w:val="32"/>
          <w:szCs w:val="32"/>
          <w:highlight w:val="none"/>
          <w:u w:val="none"/>
          <w:lang w:val="en-US" w:eastAsia="zh-CN"/>
        </w:rPr>
        <w:t>501</w:t>
      </w:r>
      <w:r>
        <w:rPr>
          <w:rFonts w:hint="eastAsia" w:ascii="仿宋_GB2312" w:hAnsi="仿宋_GB2312" w:eastAsia="仿宋_GB2312" w:cs="仿宋_GB2312"/>
          <w:vanish w:val="0"/>
          <w:color w:val="auto"/>
          <w:spacing w:val="-6"/>
          <w:w w:val="100"/>
          <w:sz w:val="32"/>
          <w:szCs w:val="32"/>
          <w:highlight w:val="none"/>
          <w:u w:val="none"/>
          <w:lang w:eastAsia="zh-CN"/>
        </w:rPr>
        <w:t>户</w:t>
      </w:r>
      <w:r>
        <w:rPr>
          <w:rFonts w:hint="eastAsia" w:ascii="仿宋_GB2312" w:hAnsi="仿宋_GB2312" w:eastAsia="仿宋_GB2312" w:cs="仿宋_GB2312"/>
          <w:vanish w:val="0"/>
          <w:color w:val="auto"/>
          <w:spacing w:val="-6"/>
          <w:w w:val="100"/>
          <w:sz w:val="32"/>
          <w:szCs w:val="32"/>
          <w:highlight w:val="none"/>
          <w:u w:val="none"/>
          <w:lang w:val="en-US" w:eastAsia="zh-CN"/>
        </w:rPr>
        <w:t>2458</w:t>
      </w:r>
      <w:r>
        <w:rPr>
          <w:rFonts w:hint="eastAsia" w:ascii="仿宋_GB2312" w:hAnsi="仿宋_GB2312" w:eastAsia="仿宋_GB2312" w:cs="仿宋_GB2312"/>
          <w:vanish w:val="0"/>
          <w:color w:val="auto"/>
          <w:spacing w:val="-6"/>
          <w:w w:val="100"/>
          <w:sz w:val="32"/>
          <w:szCs w:val="32"/>
          <w:highlight w:val="none"/>
          <w:u w:val="none"/>
          <w:lang w:eastAsia="zh-CN"/>
        </w:rPr>
        <w:t>人，农村低保资金支出</w:t>
      </w:r>
      <w:r>
        <w:rPr>
          <w:rFonts w:hint="eastAsia" w:ascii="仿宋_GB2312" w:hAnsi="仿宋_GB2312" w:eastAsia="仿宋_GB2312" w:cs="仿宋_GB2312"/>
          <w:vanish w:val="0"/>
          <w:color w:val="auto"/>
          <w:spacing w:val="-6"/>
          <w:w w:val="100"/>
          <w:sz w:val="32"/>
          <w:szCs w:val="32"/>
          <w:highlight w:val="none"/>
          <w:u w:val="none"/>
          <w:lang w:val="en-US" w:eastAsia="zh-CN"/>
        </w:rPr>
        <w:t>1302.7</w:t>
      </w:r>
      <w:r>
        <w:rPr>
          <w:rFonts w:hint="eastAsia" w:ascii="仿宋_GB2312" w:hAnsi="仿宋_GB2312" w:eastAsia="仿宋_GB2312" w:cs="仿宋_GB2312"/>
          <w:vanish w:val="0"/>
          <w:color w:val="auto"/>
          <w:spacing w:val="-6"/>
          <w:w w:val="100"/>
          <w:sz w:val="32"/>
          <w:szCs w:val="32"/>
          <w:highlight w:val="none"/>
          <w:u w:val="none"/>
          <w:lang w:eastAsia="zh-CN"/>
        </w:rPr>
        <w:t>万元；救助城乡困难群众</w:t>
      </w:r>
      <w:r>
        <w:rPr>
          <w:rFonts w:hint="eastAsia" w:ascii="仿宋_GB2312" w:hAnsi="仿宋_GB2312" w:eastAsia="仿宋_GB2312" w:cs="仿宋_GB2312"/>
          <w:vanish w:val="0"/>
          <w:color w:val="auto"/>
          <w:spacing w:val="-6"/>
          <w:w w:val="100"/>
          <w:sz w:val="32"/>
          <w:szCs w:val="32"/>
          <w:highlight w:val="none"/>
          <w:u w:val="none"/>
          <w:lang w:val="en-US" w:eastAsia="zh-CN"/>
        </w:rPr>
        <w:t>1952</w:t>
      </w:r>
      <w:r>
        <w:rPr>
          <w:rFonts w:hint="eastAsia" w:ascii="仿宋_GB2312" w:hAnsi="仿宋_GB2312" w:eastAsia="仿宋_GB2312" w:cs="仿宋_GB2312"/>
          <w:vanish w:val="0"/>
          <w:color w:val="auto"/>
          <w:spacing w:val="-6"/>
          <w:w w:val="100"/>
          <w:sz w:val="32"/>
          <w:szCs w:val="32"/>
          <w:highlight w:val="none"/>
          <w:u w:val="none"/>
          <w:lang w:eastAsia="zh-CN"/>
        </w:rPr>
        <w:t>人次，发放临时救助资金</w:t>
      </w:r>
      <w:r>
        <w:rPr>
          <w:rFonts w:hint="eastAsia" w:ascii="仿宋_GB2312" w:hAnsi="仿宋_GB2312" w:eastAsia="仿宋_GB2312" w:cs="仿宋_GB2312"/>
          <w:vanish w:val="0"/>
          <w:color w:val="auto"/>
          <w:spacing w:val="-6"/>
          <w:w w:val="100"/>
          <w:sz w:val="32"/>
          <w:szCs w:val="32"/>
          <w:highlight w:val="none"/>
          <w:u w:val="none"/>
          <w:lang w:val="en-US" w:eastAsia="zh-CN"/>
        </w:rPr>
        <w:t>427.84</w:t>
      </w:r>
      <w:r>
        <w:rPr>
          <w:rFonts w:hint="eastAsia" w:ascii="仿宋_GB2312" w:hAnsi="仿宋_GB2312" w:eastAsia="仿宋_GB2312" w:cs="仿宋_GB2312"/>
          <w:vanish w:val="0"/>
          <w:color w:val="auto"/>
          <w:spacing w:val="-6"/>
          <w:w w:val="100"/>
          <w:sz w:val="32"/>
          <w:szCs w:val="32"/>
          <w:highlight w:val="none"/>
          <w:u w:val="none"/>
          <w:lang w:eastAsia="zh-CN"/>
        </w:rPr>
        <w:t>万元。</w:t>
      </w:r>
    </w:p>
    <w:p w14:paraId="05DFD9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十一、气候、资源、环境、安全生产</w:t>
      </w:r>
    </w:p>
    <w:p w14:paraId="14B6D014">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jc w:val="left"/>
        <w:textAlignment w:val="auto"/>
        <w:rPr>
          <w:color w:val="auto"/>
        </w:rPr>
      </w:pPr>
      <w:r>
        <w:rPr>
          <w:rFonts w:hint="eastAsia" w:ascii="仿宋_GB2312" w:hAnsi="仿宋_GB2312" w:eastAsia="仿宋_GB2312" w:cs="仿宋_GB2312"/>
          <w:b/>
          <w:bCs/>
          <w:color w:val="auto"/>
          <w:sz w:val="32"/>
          <w:szCs w:val="32"/>
          <w:highlight w:val="none"/>
        </w:rPr>
        <w:t>202</w:t>
      </w: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年总的气候特征：</w:t>
      </w:r>
      <w:r>
        <w:rPr>
          <w:rFonts w:ascii="仿宋_GB2312" w:eastAsia="仿宋_GB2312" w:cs="仿宋_GB2312"/>
          <w:color w:val="auto"/>
          <w:sz w:val="32"/>
          <w:szCs w:val="32"/>
        </w:rPr>
        <w:t>气温偏高，降水正常。年平均气温5.5℃，较历年平均值高1.0℃，属偏高年份；年极端最高温度31.1℃，出现在5月21日；年极端最低温度-22.9℃，出现在1月21日。年降水量312.3毫米，较历年值多15%，属正常年份。全年日照总时数2497.3小时，较历年值少330.6小时。年内出现大雨4次、连阴雨2次、扬沙8次、浮尘18次、大风3次、强降温3次、寒潮1次。</w:t>
      </w:r>
    </w:p>
    <w:p w14:paraId="7B0049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资源：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年全县共供应国有建设用地19宗，面积</w:t>
      </w:r>
      <w:r>
        <w:rPr>
          <w:rFonts w:hint="eastAsia" w:ascii="仿宋_GB2312" w:hAnsi="仿宋_GB2312" w:eastAsia="仿宋_GB2312" w:cs="仿宋_GB2312"/>
          <w:color w:val="auto"/>
          <w:sz w:val="32"/>
          <w:szCs w:val="32"/>
          <w:highlight w:val="none"/>
          <w:lang w:val="en-US" w:eastAsia="zh-CN"/>
        </w:rPr>
        <w:t>519.8964</w:t>
      </w:r>
      <w:r>
        <w:rPr>
          <w:rFonts w:hint="eastAsia" w:ascii="仿宋_GB2312" w:hAnsi="仿宋_GB2312" w:eastAsia="仿宋_GB2312" w:cs="仿宋_GB2312"/>
          <w:color w:val="auto"/>
          <w:sz w:val="32"/>
          <w:szCs w:val="32"/>
          <w:highlight w:val="none"/>
          <w:lang w:eastAsia="zh-CN"/>
        </w:rPr>
        <w:t>公顷，其中商服用地3.</w:t>
      </w:r>
      <w:r>
        <w:rPr>
          <w:rFonts w:hint="eastAsia" w:ascii="仿宋_GB2312" w:hAnsi="仿宋_GB2312" w:eastAsia="仿宋_GB2312" w:cs="仿宋_GB2312"/>
          <w:color w:val="auto"/>
          <w:sz w:val="32"/>
          <w:szCs w:val="32"/>
          <w:highlight w:val="none"/>
          <w:lang w:val="en-US" w:eastAsia="zh-CN"/>
        </w:rPr>
        <w:t>8464</w:t>
      </w:r>
      <w:r>
        <w:rPr>
          <w:rFonts w:hint="eastAsia" w:ascii="仿宋_GB2312" w:hAnsi="仿宋_GB2312" w:eastAsia="仿宋_GB2312" w:cs="仿宋_GB2312"/>
          <w:color w:val="auto"/>
          <w:sz w:val="32"/>
          <w:szCs w:val="32"/>
          <w:highlight w:val="none"/>
          <w:lang w:eastAsia="zh-CN"/>
        </w:rPr>
        <w:t>公顷，</w:t>
      </w:r>
      <w:r>
        <w:rPr>
          <w:rFonts w:hint="eastAsia" w:ascii="仿宋_GB2312" w:hAnsi="仿宋_GB2312" w:eastAsia="仿宋_GB2312" w:cs="仿宋_GB2312"/>
          <w:color w:val="auto"/>
          <w:sz w:val="32"/>
          <w:szCs w:val="32"/>
          <w:highlight w:val="none"/>
          <w:lang w:val="en-US" w:eastAsia="zh-CN"/>
        </w:rPr>
        <w:t>居住用地0.521公顷，</w:t>
      </w:r>
      <w:r>
        <w:rPr>
          <w:rFonts w:hint="eastAsia" w:ascii="仿宋_GB2312" w:hAnsi="仿宋_GB2312" w:eastAsia="仿宋_GB2312" w:cs="仿宋_GB2312"/>
          <w:color w:val="auto"/>
          <w:sz w:val="32"/>
          <w:szCs w:val="32"/>
          <w:highlight w:val="none"/>
          <w:lang w:eastAsia="zh-CN"/>
        </w:rPr>
        <w:t>公共管理与公共服务用地</w:t>
      </w:r>
      <w:r>
        <w:rPr>
          <w:rFonts w:hint="eastAsia" w:ascii="仿宋_GB2312" w:hAnsi="仿宋_GB2312" w:eastAsia="仿宋_GB2312" w:cs="仿宋_GB2312"/>
          <w:color w:val="auto"/>
          <w:sz w:val="32"/>
          <w:szCs w:val="32"/>
          <w:highlight w:val="none"/>
          <w:lang w:val="en-US" w:eastAsia="zh-CN"/>
        </w:rPr>
        <w:t>3.1688</w:t>
      </w:r>
      <w:r>
        <w:rPr>
          <w:rFonts w:hint="eastAsia" w:ascii="仿宋_GB2312" w:hAnsi="仿宋_GB2312" w:eastAsia="仿宋_GB2312" w:cs="仿宋_GB2312"/>
          <w:color w:val="auto"/>
          <w:sz w:val="32"/>
          <w:szCs w:val="32"/>
          <w:highlight w:val="none"/>
          <w:lang w:eastAsia="zh-CN"/>
        </w:rPr>
        <w:t>公顷，</w:t>
      </w:r>
      <w:r>
        <w:rPr>
          <w:rFonts w:hint="eastAsia" w:ascii="仿宋_GB2312" w:hAnsi="仿宋_GB2312" w:eastAsia="仿宋_GB2312" w:cs="仿宋_GB2312"/>
          <w:color w:val="auto"/>
          <w:sz w:val="32"/>
          <w:szCs w:val="32"/>
          <w:highlight w:val="none"/>
          <w:lang w:val="en-US" w:eastAsia="zh-CN"/>
        </w:rPr>
        <w:t>公用设施用地423.0154</w:t>
      </w:r>
      <w:r>
        <w:rPr>
          <w:rFonts w:hint="eastAsia" w:ascii="仿宋_GB2312" w:hAnsi="仿宋_GB2312" w:eastAsia="仿宋_GB2312" w:cs="仿宋_GB2312"/>
          <w:color w:val="auto"/>
          <w:sz w:val="32"/>
          <w:szCs w:val="32"/>
          <w:highlight w:val="none"/>
          <w:lang w:eastAsia="zh-CN"/>
        </w:rPr>
        <w:t>公顷，</w:t>
      </w:r>
      <w:r>
        <w:rPr>
          <w:rFonts w:hint="eastAsia" w:ascii="仿宋_GB2312" w:hAnsi="仿宋_GB2312" w:eastAsia="仿宋_GB2312" w:cs="仿宋_GB2312"/>
          <w:color w:val="auto"/>
          <w:sz w:val="32"/>
          <w:szCs w:val="32"/>
          <w:highlight w:val="none"/>
          <w:lang w:val="en-US" w:eastAsia="zh-CN"/>
        </w:rPr>
        <w:t>公路用地22.4967公顷，绿地与开敞空间用地3.2081公顷，工矿用地63.6401公顷</w:t>
      </w:r>
      <w:r>
        <w:rPr>
          <w:rFonts w:hint="eastAsia" w:ascii="仿宋_GB2312" w:hAnsi="仿宋_GB2312" w:eastAsia="仿宋_GB2312" w:cs="仿宋_GB2312"/>
          <w:color w:val="auto"/>
          <w:sz w:val="32"/>
          <w:szCs w:val="32"/>
          <w:highlight w:val="none"/>
          <w:lang w:eastAsia="zh-CN"/>
        </w:rPr>
        <w:t>。征收土地出让金</w:t>
      </w:r>
      <w:r>
        <w:rPr>
          <w:rFonts w:hint="eastAsia" w:ascii="仿宋_GB2312" w:hAnsi="仿宋_GB2312" w:eastAsia="仿宋_GB2312" w:cs="仿宋_GB2312"/>
          <w:color w:val="auto"/>
          <w:sz w:val="32"/>
          <w:szCs w:val="32"/>
          <w:highlight w:val="none"/>
          <w:lang w:val="en-US" w:eastAsia="zh-CN"/>
        </w:rPr>
        <w:t>3491.54</w:t>
      </w:r>
      <w:r>
        <w:rPr>
          <w:rFonts w:hint="eastAsia" w:ascii="仿宋_GB2312" w:hAnsi="仿宋_GB2312" w:eastAsia="仿宋_GB2312" w:cs="仿宋_GB2312"/>
          <w:color w:val="auto"/>
          <w:sz w:val="32"/>
          <w:szCs w:val="32"/>
          <w:highlight w:val="none"/>
          <w:lang w:eastAsia="zh-CN"/>
        </w:rPr>
        <w:t>万元，变更补缴出让金</w:t>
      </w:r>
      <w:r>
        <w:rPr>
          <w:rFonts w:hint="eastAsia" w:ascii="仿宋_GB2312" w:hAnsi="仿宋_GB2312" w:eastAsia="仿宋_GB2312" w:cs="仿宋_GB2312"/>
          <w:color w:val="auto"/>
          <w:sz w:val="32"/>
          <w:szCs w:val="32"/>
          <w:highlight w:val="none"/>
          <w:lang w:val="en-US" w:eastAsia="zh-CN"/>
        </w:rPr>
        <w:t>7.4586</w:t>
      </w:r>
      <w:r>
        <w:rPr>
          <w:rFonts w:hint="eastAsia" w:ascii="仿宋_GB2312" w:hAnsi="仿宋_GB2312" w:eastAsia="仿宋_GB2312" w:cs="仿宋_GB2312"/>
          <w:color w:val="auto"/>
          <w:sz w:val="32"/>
          <w:szCs w:val="32"/>
          <w:highlight w:val="none"/>
          <w:lang w:eastAsia="zh-CN"/>
        </w:rPr>
        <w:t>万元。</w:t>
      </w:r>
    </w:p>
    <w:p w14:paraId="3062E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肃南县现有草原178万公顷，森林24.4万公顷，23种</w:t>
      </w:r>
      <w:r>
        <w:rPr>
          <w:rFonts w:hint="eastAsia" w:ascii="仿宋_GB2312" w:hAnsi="仿宋_GB2312" w:eastAsia="仿宋_GB2312" w:cs="仿宋_GB2312"/>
          <w:color w:val="auto"/>
          <w:sz w:val="32"/>
          <w:szCs w:val="32"/>
          <w:highlight w:val="none"/>
        </w:rPr>
        <w:t>矿藏富集满目，森林总蓄积量5741379立方米，森林覆盖率10.4%。湿地面积225.01万亩。国家重点保护的一、二类野生动物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鸟兽类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59种，其它动物179种，占全省陆生野生动物的34.8％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植物84科499属1044种。</w:t>
      </w:r>
    </w:p>
    <w:p w14:paraId="17B744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年，全县完成</w:t>
      </w:r>
      <w:r>
        <w:rPr>
          <w:rFonts w:hint="eastAsia" w:ascii="仿宋_GB2312" w:hAnsi="仿宋_GB2312" w:eastAsia="仿宋_GB2312" w:cs="仿宋_GB2312"/>
          <w:color w:val="auto"/>
          <w:sz w:val="32"/>
          <w:szCs w:val="32"/>
          <w:highlight w:val="none"/>
          <w:lang w:val="en-US" w:eastAsia="zh-CN"/>
        </w:rPr>
        <w:t>营</w:t>
      </w:r>
      <w:r>
        <w:rPr>
          <w:rFonts w:hint="eastAsia" w:ascii="仿宋_GB2312" w:hAnsi="仿宋_GB2312" w:eastAsia="仿宋_GB2312" w:cs="仿宋_GB2312"/>
          <w:color w:val="auto"/>
          <w:sz w:val="32"/>
          <w:szCs w:val="32"/>
          <w:highlight w:val="none"/>
        </w:rPr>
        <w:t>造林</w:t>
      </w:r>
      <w:r>
        <w:rPr>
          <w:rFonts w:hint="eastAsia" w:ascii="仿宋_GB2312" w:hAnsi="仿宋_GB2312" w:eastAsia="仿宋_GB2312" w:cs="仿宋_GB2312"/>
          <w:color w:val="auto"/>
          <w:sz w:val="32"/>
          <w:szCs w:val="32"/>
          <w:highlight w:val="none"/>
          <w:lang w:val="en-US" w:eastAsia="zh-CN"/>
        </w:rPr>
        <w:t>0.012万亩</w:t>
      </w:r>
      <w:r>
        <w:rPr>
          <w:rFonts w:hint="eastAsia" w:ascii="仿宋_GB2312" w:hAnsi="仿宋_GB2312" w:eastAsia="仿宋_GB2312" w:cs="仿宋_GB2312"/>
          <w:color w:val="auto"/>
          <w:sz w:val="32"/>
          <w:szCs w:val="32"/>
          <w:highlight w:val="none"/>
        </w:rPr>
        <w:t>。完成退耕还林补植补造</w:t>
      </w:r>
      <w:r>
        <w:rPr>
          <w:rFonts w:hint="eastAsia" w:ascii="仿宋_GB2312" w:hAnsi="仿宋_GB2312" w:eastAsia="仿宋_GB2312" w:cs="仿宋_GB2312"/>
          <w:color w:val="auto"/>
          <w:sz w:val="32"/>
          <w:szCs w:val="32"/>
        </w:rPr>
        <w:t>1000</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lang w:val="en-US" w:eastAsia="zh-CN"/>
        </w:rPr>
        <w:t>栽植沙枣、山杏等各类苗木32000余株</w:t>
      </w:r>
      <w:r>
        <w:rPr>
          <w:rFonts w:hint="eastAsia" w:ascii="仿宋_GB2312" w:hAnsi="仿宋_GB2312" w:eastAsia="仿宋_GB2312" w:cs="仿宋_GB2312"/>
          <w:color w:val="auto"/>
          <w:sz w:val="32"/>
          <w:szCs w:val="32"/>
          <w:highlight w:val="none"/>
        </w:rPr>
        <w:t>。深入开展全民义务植树活动，完成义务植树</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0万株，尽责率达</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以上。</w:t>
      </w:r>
      <w:r>
        <w:rPr>
          <w:rFonts w:hint="eastAsia" w:ascii="仿宋_GB2312" w:hAnsi="仿宋_GB2312" w:eastAsia="仿宋_GB2312" w:cs="仿宋_GB2312"/>
          <w:color w:val="auto"/>
          <w:sz w:val="32"/>
          <w:szCs w:val="32"/>
          <w:highlight w:val="none"/>
          <w:lang w:val="en-US" w:eastAsia="zh-CN"/>
        </w:rPr>
        <w:t>开展省级乡村绿化示范村创建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共申报乡村绿化示范村1个，</w:t>
      </w:r>
      <w:r>
        <w:rPr>
          <w:rFonts w:hint="eastAsia" w:ascii="仿宋_GB2312" w:hAnsi="仿宋_GB2312" w:eastAsia="仿宋_GB2312" w:cs="仿宋_GB2312"/>
          <w:color w:val="auto"/>
          <w:sz w:val="32"/>
          <w:szCs w:val="32"/>
          <w:highlight w:val="none"/>
        </w:rPr>
        <w:t>县城园林绿化持续推进。</w:t>
      </w:r>
    </w:p>
    <w:p w14:paraId="3B9F0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全县总用水量85</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513</w:t>
      </w:r>
      <w:r>
        <w:rPr>
          <w:rFonts w:hint="eastAsia" w:ascii="仿宋_GB2312" w:hAnsi="仿宋_GB2312" w:eastAsia="仿宋_GB2312" w:cs="仿宋_GB2312"/>
          <w:color w:val="auto"/>
          <w:sz w:val="32"/>
          <w:szCs w:val="32"/>
          <w:highlight w:val="none"/>
        </w:rPr>
        <w:t>万立方米。其中：农业用水8</w:t>
      </w:r>
      <w:r>
        <w:rPr>
          <w:rFonts w:hint="eastAsia" w:ascii="仿宋_GB2312" w:hAnsi="仿宋_GB2312" w:eastAsia="仿宋_GB2312" w:cs="仿宋_GB2312"/>
          <w:color w:val="auto"/>
          <w:sz w:val="32"/>
          <w:szCs w:val="32"/>
          <w:highlight w:val="none"/>
          <w:lang w:val="en-US" w:eastAsia="zh-CN"/>
        </w:rPr>
        <w:t>037.21</w:t>
      </w:r>
      <w:r>
        <w:rPr>
          <w:rFonts w:hint="eastAsia" w:ascii="仿宋_GB2312" w:hAnsi="仿宋_GB2312" w:eastAsia="仿宋_GB2312" w:cs="仿宋_GB2312"/>
          <w:color w:val="auto"/>
          <w:sz w:val="32"/>
          <w:szCs w:val="32"/>
          <w:highlight w:val="none"/>
        </w:rPr>
        <w:t>万立方米、工业用水</w:t>
      </w:r>
      <w:r>
        <w:rPr>
          <w:rFonts w:hint="eastAsia" w:ascii="仿宋_GB2312" w:hAnsi="仿宋_GB2312" w:eastAsia="仿宋_GB2312" w:cs="仿宋_GB2312"/>
          <w:color w:val="auto"/>
          <w:sz w:val="32"/>
          <w:szCs w:val="32"/>
          <w:highlight w:val="none"/>
          <w:lang w:val="en-US" w:eastAsia="zh-CN"/>
        </w:rPr>
        <w:t>157.3848</w:t>
      </w:r>
      <w:r>
        <w:rPr>
          <w:rFonts w:hint="eastAsia" w:ascii="仿宋_GB2312" w:hAnsi="仿宋_GB2312" w:eastAsia="仿宋_GB2312" w:cs="仿宋_GB2312"/>
          <w:color w:val="auto"/>
          <w:sz w:val="32"/>
          <w:szCs w:val="32"/>
          <w:highlight w:val="none"/>
        </w:rPr>
        <w:t>万立方米、生活用水2</w:t>
      </w:r>
      <w:r>
        <w:rPr>
          <w:rFonts w:hint="eastAsia" w:ascii="仿宋_GB2312" w:hAnsi="仿宋_GB2312" w:eastAsia="仿宋_GB2312" w:cs="仿宋_GB2312"/>
          <w:color w:val="auto"/>
          <w:sz w:val="32"/>
          <w:szCs w:val="32"/>
          <w:highlight w:val="none"/>
          <w:lang w:val="en-US" w:eastAsia="zh-CN"/>
        </w:rPr>
        <w:t>19.1091</w:t>
      </w:r>
      <w:r>
        <w:rPr>
          <w:rFonts w:hint="eastAsia" w:ascii="仿宋_GB2312" w:hAnsi="仿宋_GB2312" w:eastAsia="仿宋_GB2312" w:cs="仿宋_GB2312"/>
          <w:color w:val="auto"/>
          <w:sz w:val="32"/>
          <w:szCs w:val="32"/>
          <w:highlight w:val="none"/>
        </w:rPr>
        <w:t>万立方米、生态用水1</w:t>
      </w:r>
      <w:r>
        <w:rPr>
          <w:rFonts w:hint="eastAsia" w:ascii="仿宋_GB2312" w:hAnsi="仿宋_GB2312" w:eastAsia="仿宋_GB2312" w:cs="仿宋_GB2312"/>
          <w:color w:val="auto"/>
          <w:sz w:val="32"/>
          <w:szCs w:val="32"/>
          <w:highlight w:val="none"/>
          <w:lang w:val="en-US" w:eastAsia="zh-CN"/>
        </w:rPr>
        <w:t>83.8091</w:t>
      </w:r>
      <w:r>
        <w:rPr>
          <w:rFonts w:hint="eastAsia" w:ascii="仿宋_GB2312" w:hAnsi="仿宋_GB2312" w:eastAsia="仿宋_GB2312" w:cs="仿宋_GB2312"/>
          <w:color w:val="auto"/>
          <w:sz w:val="32"/>
          <w:szCs w:val="32"/>
          <w:highlight w:val="none"/>
        </w:rPr>
        <w:t>万立方米。全年万元工业增加值用水量</w:t>
      </w:r>
      <w:r>
        <w:rPr>
          <w:rFonts w:hint="eastAsia" w:ascii="仿宋_GB2312" w:hAnsi="仿宋_GB2312" w:eastAsia="仿宋_GB2312" w:cs="仿宋_GB2312"/>
          <w:color w:val="auto"/>
          <w:sz w:val="32"/>
          <w:szCs w:val="32"/>
          <w:highlight w:val="none"/>
          <w:lang w:val="en-US" w:eastAsia="zh-CN"/>
        </w:rPr>
        <w:t>9.06</w:t>
      </w:r>
      <w:r>
        <w:rPr>
          <w:rFonts w:hint="eastAsia" w:ascii="仿宋_GB2312" w:hAnsi="仿宋_GB2312" w:eastAsia="仿宋_GB2312" w:cs="仿宋_GB2312"/>
          <w:color w:val="auto"/>
          <w:sz w:val="32"/>
          <w:szCs w:val="32"/>
          <w:highlight w:val="none"/>
        </w:rPr>
        <w:t>立方米，万元GDP用水量</w:t>
      </w:r>
      <w:r>
        <w:rPr>
          <w:rFonts w:hint="eastAsia" w:ascii="仿宋_GB2312" w:hAnsi="仿宋_GB2312" w:eastAsia="仿宋_GB2312" w:cs="仿宋_GB2312"/>
          <w:color w:val="auto"/>
          <w:sz w:val="32"/>
          <w:szCs w:val="32"/>
          <w:highlight w:val="none"/>
          <w:lang w:val="en-US" w:eastAsia="zh-CN"/>
        </w:rPr>
        <w:t>193.72</w:t>
      </w:r>
      <w:r>
        <w:rPr>
          <w:rFonts w:hint="eastAsia" w:ascii="仿宋_GB2312" w:hAnsi="仿宋_GB2312" w:eastAsia="仿宋_GB2312" w:cs="仿宋_GB2312"/>
          <w:color w:val="auto"/>
          <w:sz w:val="32"/>
          <w:szCs w:val="32"/>
          <w:highlight w:val="none"/>
        </w:rPr>
        <w:t>立方米。</w:t>
      </w:r>
    </w:p>
    <w:p w14:paraId="069C12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环境：</w:t>
      </w:r>
      <w:r>
        <w:rPr>
          <w:rFonts w:hint="eastAsia" w:ascii="仿宋_GB2312" w:hAnsi="仿宋_GB2312" w:eastAsia="仿宋_GB2312" w:cs="仿宋_GB2312"/>
          <w:color w:val="auto"/>
          <w:sz w:val="32"/>
          <w:szCs w:val="32"/>
          <w:highlight w:val="none"/>
        </w:rPr>
        <w:t>剔除沙尘天气后，可吸入颗粒物（PM10）浓度35微克/立方米、细颗粒物（PM2.5）浓度11微克/立方米。城区空气质量优良天数比例达到9</w:t>
      </w:r>
      <w:r>
        <w:rPr>
          <w:rFonts w:hint="eastAsia" w:ascii="仿宋_GB2312" w:hAnsi="仿宋_GB2312" w:eastAsia="仿宋_GB2312" w:cs="仿宋_GB2312"/>
          <w:color w:val="auto"/>
          <w:sz w:val="32"/>
          <w:szCs w:val="32"/>
          <w:highlight w:val="none"/>
          <w:lang w:val="en-US" w:eastAsia="zh-CN"/>
        </w:rPr>
        <w:t>4.1</w:t>
      </w:r>
      <w:r>
        <w:rPr>
          <w:rFonts w:hint="eastAsia" w:ascii="仿宋_GB2312" w:hAnsi="仿宋_GB2312" w:eastAsia="仿宋_GB2312" w:cs="仿宋_GB2312"/>
          <w:color w:val="auto"/>
          <w:sz w:val="32"/>
          <w:szCs w:val="32"/>
          <w:highlight w:val="none"/>
        </w:rPr>
        <w:t>%。地面水质达标率100%，饮用水源水质达标率100%。</w:t>
      </w:r>
    </w:p>
    <w:p w14:paraId="7B38C3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初步核算，</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rPr>
        <w:t>全年能源消费总量</w:t>
      </w:r>
      <w:r>
        <w:rPr>
          <w:rFonts w:hint="eastAsia" w:ascii="仿宋_GB2312" w:hAnsi="仿宋_GB2312" w:eastAsia="仿宋_GB2312" w:cs="仿宋_GB2312"/>
          <w:color w:val="auto"/>
          <w:sz w:val="32"/>
          <w:szCs w:val="32"/>
          <w:highlight w:val="none"/>
          <w:lang w:val="en-US" w:eastAsia="zh-CN"/>
        </w:rPr>
        <w:t>13.92</w:t>
      </w:r>
      <w:r>
        <w:rPr>
          <w:rFonts w:hint="eastAsia" w:ascii="仿宋_GB2312" w:hAnsi="仿宋_GB2312" w:eastAsia="仿宋_GB2312" w:cs="仿宋_GB2312"/>
          <w:color w:val="auto"/>
          <w:sz w:val="32"/>
          <w:szCs w:val="32"/>
          <w:highlight w:val="none"/>
        </w:rPr>
        <w:t>万吨标准煤，比上年增长</w:t>
      </w:r>
      <w:r>
        <w:rPr>
          <w:rFonts w:hint="eastAsia" w:ascii="仿宋_GB2312" w:hAnsi="仿宋_GB2312" w:eastAsia="仿宋_GB2312" w:cs="仿宋_GB2312"/>
          <w:color w:val="auto"/>
          <w:sz w:val="32"/>
          <w:szCs w:val="32"/>
          <w:highlight w:val="none"/>
          <w:lang w:val="en-US" w:eastAsia="zh-CN"/>
        </w:rPr>
        <w:t>2.25</w:t>
      </w:r>
      <w:r>
        <w:rPr>
          <w:rFonts w:hint="eastAsia" w:ascii="仿宋_GB2312" w:hAnsi="仿宋_GB2312" w:eastAsia="仿宋_GB2312" w:cs="仿宋_GB2312"/>
          <w:color w:val="auto"/>
          <w:sz w:val="32"/>
          <w:szCs w:val="32"/>
          <w:highlight w:val="none"/>
        </w:rPr>
        <w:t>%。分产业看，第一产业能源消费</w:t>
      </w:r>
      <w:r>
        <w:rPr>
          <w:rFonts w:hint="eastAsia" w:ascii="仿宋_GB2312" w:hAnsi="仿宋_GB2312" w:eastAsia="仿宋_GB2312" w:cs="仿宋_GB2312"/>
          <w:color w:val="auto"/>
          <w:sz w:val="32"/>
          <w:szCs w:val="32"/>
          <w:highlight w:val="none"/>
          <w:lang w:val="en-US" w:eastAsia="zh-CN"/>
        </w:rPr>
        <w:t>1.25</w:t>
      </w:r>
      <w:r>
        <w:rPr>
          <w:rFonts w:hint="eastAsia" w:ascii="仿宋_GB2312" w:hAnsi="仿宋_GB2312" w:eastAsia="仿宋_GB2312" w:cs="仿宋_GB2312"/>
          <w:color w:val="auto"/>
          <w:sz w:val="32"/>
          <w:szCs w:val="32"/>
          <w:highlight w:val="none"/>
        </w:rPr>
        <w:t>万吨标准煤，比上年</w:t>
      </w:r>
      <w:r>
        <w:rPr>
          <w:rFonts w:hint="eastAsia" w:ascii="仿宋_GB2312" w:hAnsi="仿宋_GB2312" w:eastAsia="仿宋_GB2312" w:cs="仿宋_GB2312"/>
          <w:color w:val="auto"/>
          <w:sz w:val="32"/>
          <w:szCs w:val="32"/>
          <w:highlight w:val="none"/>
          <w:lang w:val="en-US" w:eastAsia="zh-CN"/>
        </w:rPr>
        <w:t>下降0.87</w:t>
      </w:r>
      <w:r>
        <w:rPr>
          <w:rFonts w:hint="eastAsia" w:ascii="仿宋_GB2312" w:hAnsi="仿宋_GB2312" w:eastAsia="仿宋_GB2312" w:cs="仿宋_GB2312"/>
          <w:color w:val="auto"/>
          <w:sz w:val="32"/>
          <w:szCs w:val="32"/>
          <w:highlight w:val="none"/>
        </w:rPr>
        <w:t>%；第二产业能源消费</w:t>
      </w:r>
      <w:r>
        <w:rPr>
          <w:rFonts w:hint="eastAsia" w:ascii="仿宋_GB2312" w:hAnsi="仿宋_GB2312" w:eastAsia="仿宋_GB2312" w:cs="仿宋_GB2312"/>
          <w:color w:val="auto"/>
          <w:sz w:val="32"/>
          <w:szCs w:val="32"/>
          <w:highlight w:val="none"/>
          <w:lang w:val="en-US" w:eastAsia="zh-CN"/>
        </w:rPr>
        <w:t>4.42</w:t>
      </w:r>
      <w:r>
        <w:rPr>
          <w:rFonts w:hint="eastAsia" w:ascii="仿宋_GB2312" w:hAnsi="仿宋_GB2312" w:eastAsia="仿宋_GB2312" w:cs="仿宋_GB2312"/>
          <w:color w:val="auto"/>
          <w:sz w:val="32"/>
          <w:szCs w:val="32"/>
          <w:highlight w:val="none"/>
        </w:rPr>
        <w:t>万吨标准煤，比上年</w:t>
      </w:r>
      <w:r>
        <w:rPr>
          <w:rFonts w:hint="eastAsia" w:ascii="仿宋_GB2312" w:hAnsi="仿宋_GB2312" w:eastAsia="仿宋_GB2312" w:cs="仿宋_GB2312"/>
          <w:color w:val="auto"/>
          <w:sz w:val="32"/>
          <w:szCs w:val="32"/>
          <w:highlight w:val="none"/>
          <w:lang w:val="en-US" w:eastAsia="zh-CN"/>
        </w:rPr>
        <w:t>增长2.08</w:t>
      </w:r>
      <w:r>
        <w:rPr>
          <w:rFonts w:hint="eastAsia" w:ascii="仿宋_GB2312" w:hAnsi="仿宋_GB2312" w:eastAsia="仿宋_GB2312" w:cs="仿宋_GB2312"/>
          <w:color w:val="auto"/>
          <w:sz w:val="32"/>
          <w:szCs w:val="32"/>
          <w:highlight w:val="none"/>
        </w:rPr>
        <w:t>%，其中工业能源消费</w:t>
      </w:r>
      <w:r>
        <w:rPr>
          <w:rFonts w:hint="eastAsia" w:ascii="仿宋_GB2312" w:hAnsi="仿宋_GB2312" w:eastAsia="仿宋_GB2312" w:cs="仿宋_GB2312"/>
          <w:color w:val="auto"/>
          <w:sz w:val="32"/>
          <w:szCs w:val="32"/>
          <w:highlight w:val="none"/>
          <w:lang w:val="en-US" w:eastAsia="zh-CN"/>
        </w:rPr>
        <w:t>4.37</w:t>
      </w:r>
      <w:r>
        <w:rPr>
          <w:rFonts w:hint="eastAsia" w:ascii="仿宋_GB2312" w:hAnsi="仿宋_GB2312" w:eastAsia="仿宋_GB2312" w:cs="仿宋_GB2312"/>
          <w:color w:val="auto"/>
          <w:sz w:val="32"/>
          <w:szCs w:val="32"/>
          <w:highlight w:val="none"/>
        </w:rPr>
        <w:t>万吨标准煤，比上年</w:t>
      </w:r>
      <w:r>
        <w:rPr>
          <w:rFonts w:hint="eastAsia" w:ascii="仿宋_GB2312" w:hAnsi="仿宋_GB2312" w:eastAsia="仿宋_GB2312" w:cs="仿宋_GB2312"/>
          <w:color w:val="auto"/>
          <w:sz w:val="32"/>
          <w:szCs w:val="32"/>
          <w:highlight w:val="none"/>
          <w:lang w:val="en-US" w:eastAsia="zh-CN"/>
        </w:rPr>
        <w:t>增长2.31</w:t>
      </w:r>
      <w:r>
        <w:rPr>
          <w:rFonts w:hint="eastAsia" w:ascii="仿宋_GB2312" w:hAnsi="仿宋_GB2312" w:eastAsia="仿宋_GB2312" w:cs="仿宋_GB2312"/>
          <w:color w:val="auto"/>
          <w:sz w:val="32"/>
          <w:szCs w:val="32"/>
          <w:highlight w:val="none"/>
        </w:rPr>
        <w:t>%；第三产业能源消费</w:t>
      </w:r>
      <w:r>
        <w:rPr>
          <w:rFonts w:hint="eastAsia" w:ascii="仿宋_GB2312" w:hAnsi="仿宋_GB2312" w:eastAsia="仿宋_GB2312" w:cs="仿宋_GB2312"/>
          <w:color w:val="auto"/>
          <w:sz w:val="32"/>
          <w:szCs w:val="32"/>
          <w:highlight w:val="none"/>
          <w:lang w:val="en-US" w:eastAsia="zh-CN"/>
        </w:rPr>
        <w:t>3.08</w:t>
      </w:r>
      <w:r>
        <w:rPr>
          <w:rFonts w:hint="eastAsia" w:ascii="仿宋_GB2312" w:hAnsi="仿宋_GB2312" w:eastAsia="仿宋_GB2312" w:cs="仿宋_GB2312"/>
          <w:color w:val="auto"/>
          <w:sz w:val="32"/>
          <w:szCs w:val="32"/>
          <w:highlight w:val="none"/>
        </w:rPr>
        <w:t>万吨标准煤，比上年增长</w:t>
      </w:r>
      <w:r>
        <w:rPr>
          <w:rFonts w:hint="eastAsia" w:ascii="仿宋_GB2312" w:hAnsi="仿宋_GB2312" w:eastAsia="仿宋_GB2312" w:cs="仿宋_GB2312"/>
          <w:color w:val="auto"/>
          <w:sz w:val="32"/>
          <w:szCs w:val="32"/>
          <w:highlight w:val="none"/>
          <w:lang w:val="en-US" w:eastAsia="zh-CN"/>
        </w:rPr>
        <w:t>5.53</w:t>
      </w:r>
      <w:r>
        <w:rPr>
          <w:rFonts w:hint="eastAsia" w:ascii="仿宋_GB2312" w:hAnsi="仿宋_GB2312" w:eastAsia="仿宋_GB2312" w:cs="仿宋_GB2312"/>
          <w:color w:val="auto"/>
          <w:sz w:val="32"/>
          <w:szCs w:val="32"/>
          <w:highlight w:val="none"/>
        </w:rPr>
        <w:t>%。单位生产总值能耗0.</w:t>
      </w:r>
      <w:r>
        <w:rPr>
          <w:rFonts w:hint="eastAsia" w:ascii="仿宋_GB2312" w:hAnsi="仿宋_GB2312" w:eastAsia="仿宋_GB2312" w:cs="仿宋_GB2312"/>
          <w:color w:val="auto"/>
          <w:sz w:val="32"/>
          <w:szCs w:val="32"/>
          <w:highlight w:val="none"/>
          <w:lang w:val="en-US" w:eastAsia="zh-CN"/>
        </w:rPr>
        <w:t>3435</w:t>
      </w:r>
      <w:r>
        <w:rPr>
          <w:rFonts w:hint="eastAsia" w:ascii="仿宋_GB2312" w:hAnsi="仿宋_GB2312" w:eastAsia="仿宋_GB2312" w:cs="仿宋_GB2312"/>
          <w:color w:val="auto"/>
          <w:sz w:val="32"/>
          <w:szCs w:val="32"/>
          <w:highlight w:val="none"/>
        </w:rPr>
        <w:t>吨标准煤/万元，万元生产总值能耗下降</w:t>
      </w:r>
      <w:r>
        <w:rPr>
          <w:rFonts w:hint="eastAsia" w:ascii="仿宋_GB2312" w:hAnsi="仿宋_GB2312" w:eastAsia="仿宋_GB2312" w:cs="仿宋_GB2312"/>
          <w:color w:val="auto"/>
          <w:sz w:val="32"/>
          <w:szCs w:val="32"/>
          <w:highlight w:val="none"/>
          <w:lang w:val="en-US" w:eastAsia="zh-CN"/>
        </w:rPr>
        <w:t>3.9</w:t>
      </w:r>
      <w:r>
        <w:rPr>
          <w:rFonts w:hint="eastAsia" w:ascii="仿宋_GB2312" w:hAnsi="仿宋_GB2312" w:eastAsia="仿宋_GB2312" w:cs="仿宋_GB2312"/>
          <w:color w:val="auto"/>
          <w:sz w:val="32"/>
          <w:szCs w:val="32"/>
          <w:highlight w:val="none"/>
        </w:rPr>
        <w:t>%。</w:t>
      </w:r>
    </w:p>
    <w:p w14:paraId="786CE8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安全生产：</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年全县</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lang w:eastAsia="zh-CN"/>
        </w:rPr>
        <w:t>发生</w:t>
      </w:r>
      <w:r>
        <w:rPr>
          <w:rFonts w:hint="eastAsia" w:ascii="仿宋_GB2312" w:hAnsi="仿宋_GB2312" w:eastAsia="仿宋_GB2312" w:cs="仿宋_GB2312"/>
          <w:color w:val="auto"/>
          <w:sz w:val="32"/>
          <w:szCs w:val="32"/>
          <w:highlight w:val="none"/>
          <w:lang w:val="en-US" w:eastAsia="zh-CN"/>
        </w:rPr>
        <w:t>生产安全事故，与去年同期相比，事故起数、受伤人数、死亡人数、</w:t>
      </w:r>
      <w:r>
        <w:rPr>
          <w:rFonts w:hint="eastAsia" w:ascii="仿宋_GB2312" w:hAnsi="仿宋_GB2312" w:eastAsia="仿宋_GB2312" w:cs="仿宋_GB2312"/>
          <w:color w:val="auto"/>
          <w:sz w:val="32"/>
          <w:szCs w:val="32"/>
          <w:highlight w:val="none"/>
          <w:lang w:eastAsia="zh-CN"/>
        </w:rPr>
        <w:t>直接经济损失</w:t>
      </w:r>
      <w:r>
        <w:rPr>
          <w:rFonts w:hint="eastAsia" w:ascii="仿宋_GB2312" w:hAnsi="仿宋_GB2312" w:eastAsia="仿宋_GB2312" w:cs="仿宋_GB2312"/>
          <w:color w:val="auto"/>
          <w:sz w:val="32"/>
          <w:szCs w:val="32"/>
          <w:highlight w:val="none"/>
          <w:lang w:val="en-US" w:eastAsia="zh-CN"/>
        </w:rPr>
        <w:t>均</w:t>
      </w:r>
      <w:r>
        <w:rPr>
          <w:rFonts w:hint="eastAsia" w:ascii="仿宋_GB2312" w:hAnsi="仿宋_GB2312" w:eastAsia="仿宋_GB2312" w:cs="仿宋_GB2312"/>
          <w:color w:val="auto"/>
          <w:sz w:val="32"/>
          <w:szCs w:val="32"/>
          <w:highlight w:val="none"/>
          <w:lang w:eastAsia="zh-CN"/>
        </w:rPr>
        <w:t>下降100%，安全生产四项指标“</w:t>
      </w:r>
      <w:r>
        <w:rPr>
          <w:rFonts w:hint="eastAsia" w:ascii="仿宋_GB2312" w:hAnsi="仿宋_GB2312" w:eastAsia="仿宋_GB2312" w:cs="仿宋_GB2312"/>
          <w:color w:val="auto"/>
          <w:sz w:val="32"/>
          <w:szCs w:val="32"/>
          <w:highlight w:val="none"/>
          <w:lang w:val="en-US" w:eastAsia="zh-CN"/>
        </w:rPr>
        <w:t>全面下降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lang w:eastAsia="zh-CN"/>
        </w:rPr>
        <w:t>发生较大及以上生产安全事故。</w:t>
      </w:r>
    </w:p>
    <w:p w14:paraId="0C79EB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14:paraId="39A1B5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w:t>
      </w:r>
    </w:p>
    <w:p w14:paraId="09F0D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1．本公报各项统计数据为初步统计数，正式数据以《</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肃南统计年鉴》为准。部分数据因四舍五入的原因，存在与分项合计不等的情况。</w:t>
      </w:r>
    </w:p>
    <w:p w14:paraId="052ABE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2．生产总值、各产业增加值绝对数按现价计算，增长速度按不变价格计算。</w:t>
      </w:r>
    </w:p>
    <w:p w14:paraId="35A0F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3．规模以上工业经济指标数据为</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快报数。</w:t>
      </w:r>
    </w:p>
    <w:p w14:paraId="2763734F">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4．固定资产投资按现行统计口径，不含农户投资，包括计划投资500万元及以上项目投资、房地产开发投资两部分。</w:t>
      </w:r>
    </w:p>
    <w:p w14:paraId="6EA14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5．本公报中城镇登记失业率、失业人员再就业人数、社会保障数据来自县人社局；医疗救助</w:t>
      </w:r>
      <w:r>
        <w:rPr>
          <w:rFonts w:hint="eastAsia" w:ascii="仿宋_GB2312" w:hAnsi="仿宋_GB2312" w:eastAsia="仿宋_GB2312" w:cs="仿宋_GB2312"/>
          <w:color w:val="auto"/>
          <w:spacing w:val="0"/>
          <w:sz w:val="32"/>
          <w:szCs w:val="32"/>
          <w:lang w:val="en-US" w:eastAsia="zh-CN"/>
        </w:rPr>
        <w:t>数据</w:t>
      </w:r>
      <w:r>
        <w:rPr>
          <w:rFonts w:hint="eastAsia" w:ascii="仿宋_GB2312" w:hAnsi="仿宋_GB2312" w:eastAsia="仿宋_GB2312" w:cs="仿宋_GB2312"/>
          <w:color w:val="auto"/>
          <w:spacing w:val="0"/>
          <w:sz w:val="32"/>
          <w:szCs w:val="32"/>
        </w:rPr>
        <w:t>来自县医保局；低保数据来自县民政局；财政数据来自县财政局；货币金融数据来自中国人民银行肃南县支行；保险数据来自县人寿和财产保险公司；交通运输数据来自县交通局、县运管所；通信数据来自县电信公司、移动公司、联通公司；邮政数据来自县邮政局；教育数据来自县教体局；科技数据来自县科技局、县市场监管局；文化、广播、电视数据来自县文旅局；卫生数据来自县卫健</w:t>
      </w:r>
      <w:r>
        <w:rPr>
          <w:rFonts w:hint="eastAsia" w:ascii="仿宋_GB2312" w:hAnsi="仿宋_GB2312" w:eastAsia="仿宋_GB2312" w:cs="仿宋_GB2312"/>
          <w:color w:val="auto"/>
          <w:spacing w:val="0"/>
          <w:sz w:val="32"/>
          <w:szCs w:val="32"/>
          <w:lang w:val="en-US" w:eastAsia="zh-CN"/>
        </w:rPr>
        <w:t>局</w:t>
      </w:r>
      <w:r>
        <w:rPr>
          <w:rFonts w:hint="eastAsia" w:ascii="仿宋_GB2312" w:hAnsi="仿宋_GB2312" w:eastAsia="仿宋_GB2312" w:cs="仿宋_GB2312"/>
          <w:color w:val="auto"/>
          <w:spacing w:val="0"/>
          <w:sz w:val="32"/>
          <w:szCs w:val="32"/>
        </w:rPr>
        <w:t>；体育数据来自县体育运动中心；环境监测数据来自</w:t>
      </w:r>
      <w:r>
        <w:rPr>
          <w:rFonts w:hint="eastAsia" w:ascii="仿宋_GB2312" w:hAnsi="仿宋_GB2312" w:eastAsia="仿宋_GB2312" w:cs="仿宋_GB2312"/>
          <w:color w:val="auto"/>
          <w:spacing w:val="0"/>
          <w:sz w:val="32"/>
          <w:szCs w:val="32"/>
          <w:lang w:val="en-US" w:eastAsia="zh-CN"/>
        </w:rPr>
        <w:t>生态环境分局</w:t>
      </w:r>
      <w:r>
        <w:rPr>
          <w:rFonts w:hint="eastAsia" w:ascii="仿宋_GB2312" w:hAnsi="仿宋_GB2312" w:eastAsia="仿宋_GB2312" w:cs="仿宋_GB2312"/>
          <w:color w:val="auto"/>
          <w:spacing w:val="0"/>
          <w:sz w:val="32"/>
          <w:szCs w:val="32"/>
        </w:rPr>
        <w:t>肃南分局；气候数据来自县气象局；土地资源和林业数据来自县自然资源局</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县林草局</w:t>
      </w:r>
      <w:r>
        <w:rPr>
          <w:rFonts w:hint="eastAsia" w:ascii="仿宋_GB2312" w:hAnsi="仿宋_GB2312" w:eastAsia="仿宋_GB2312" w:cs="仿宋_GB2312"/>
          <w:color w:val="auto"/>
          <w:spacing w:val="0"/>
          <w:sz w:val="32"/>
          <w:szCs w:val="32"/>
        </w:rPr>
        <w:t>；用水量数据来自县水务局；其他数据均来自县</w:t>
      </w:r>
      <w:r>
        <w:rPr>
          <w:rFonts w:hint="eastAsia" w:ascii="仿宋_GB2312" w:hAnsi="仿宋_GB2312" w:eastAsia="仿宋_GB2312" w:cs="仿宋_GB2312"/>
          <w:color w:val="auto"/>
          <w:spacing w:val="0"/>
          <w:sz w:val="32"/>
          <w:szCs w:val="32"/>
          <w:lang w:val="en-US" w:eastAsia="zh-CN"/>
        </w:rPr>
        <w:t>统计局。</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NWQwOWQzODhmNDAzOTZiMGRjYzVmOWEzNjlkMjkifQ=="/>
  </w:docVars>
  <w:rsids>
    <w:rsidRoot w:val="7DC51A41"/>
    <w:rsid w:val="00051017"/>
    <w:rsid w:val="00052A18"/>
    <w:rsid w:val="00247343"/>
    <w:rsid w:val="00E04AC3"/>
    <w:rsid w:val="00E05B60"/>
    <w:rsid w:val="00E865C2"/>
    <w:rsid w:val="011E3D92"/>
    <w:rsid w:val="01255120"/>
    <w:rsid w:val="016A53E9"/>
    <w:rsid w:val="01AC75F0"/>
    <w:rsid w:val="01B42948"/>
    <w:rsid w:val="01DE1773"/>
    <w:rsid w:val="01E4322D"/>
    <w:rsid w:val="020411DA"/>
    <w:rsid w:val="020C4532"/>
    <w:rsid w:val="020E2058"/>
    <w:rsid w:val="021D229B"/>
    <w:rsid w:val="02223D56"/>
    <w:rsid w:val="025A704C"/>
    <w:rsid w:val="026659F0"/>
    <w:rsid w:val="026B1259"/>
    <w:rsid w:val="027D71DE"/>
    <w:rsid w:val="02902A6D"/>
    <w:rsid w:val="029167E5"/>
    <w:rsid w:val="029D33DC"/>
    <w:rsid w:val="02A4476B"/>
    <w:rsid w:val="02AB3D4B"/>
    <w:rsid w:val="02AE55E9"/>
    <w:rsid w:val="02B80216"/>
    <w:rsid w:val="02E903CF"/>
    <w:rsid w:val="02EE59E6"/>
    <w:rsid w:val="02FF5E45"/>
    <w:rsid w:val="03457CFC"/>
    <w:rsid w:val="0361265C"/>
    <w:rsid w:val="03912F41"/>
    <w:rsid w:val="03920A67"/>
    <w:rsid w:val="039C3694"/>
    <w:rsid w:val="03A8028B"/>
    <w:rsid w:val="03AA4003"/>
    <w:rsid w:val="03B12F2A"/>
    <w:rsid w:val="03B46C2F"/>
    <w:rsid w:val="03C52BEB"/>
    <w:rsid w:val="03D60954"/>
    <w:rsid w:val="03F90AE6"/>
    <w:rsid w:val="04180F6C"/>
    <w:rsid w:val="04206073"/>
    <w:rsid w:val="04245B63"/>
    <w:rsid w:val="04333E3D"/>
    <w:rsid w:val="04473600"/>
    <w:rsid w:val="04583A5F"/>
    <w:rsid w:val="046B3792"/>
    <w:rsid w:val="047A5783"/>
    <w:rsid w:val="04BA0275"/>
    <w:rsid w:val="04D95FAF"/>
    <w:rsid w:val="04EB6681"/>
    <w:rsid w:val="04EE6171"/>
    <w:rsid w:val="04FC088E"/>
    <w:rsid w:val="05017C52"/>
    <w:rsid w:val="05152A51"/>
    <w:rsid w:val="05467D5B"/>
    <w:rsid w:val="054E09BE"/>
    <w:rsid w:val="057E74F5"/>
    <w:rsid w:val="05AF5900"/>
    <w:rsid w:val="05EF6AC9"/>
    <w:rsid w:val="06E45A7E"/>
    <w:rsid w:val="06F3181D"/>
    <w:rsid w:val="070677A2"/>
    <w:rsid w:val="07133C6D"/>
    <w:rsid w:val="073C7668"/>
    <w:rsid w:val="07437C24"/>
    <w:rsid w:val="07465DF0"/>
    <w:rsid w:val="075449B1"/>
    <w:rsid w:val="0764271A"/>
    <w:rsid w:val="076C57C9"/>
    <w:rsid w:val="07893F2F"/>
    <w:rsid w:val="078B79E6"/>
    <w:rsid w:val="07BB058C"/>
    <w:rsid w:val="07CF5DE6"/>
    <w:rsid w:val="07D433FC"/>
    <w:rsid w:val="07E953EA"/>
    <w:rsid w:val="07EA2C20"/>
    <w:rsid w:val="07EF6488"/>
    <w:rsid w:val="07F4584C"/>
    <w:rsid w:val="083139D3"/>
    <w:rsid w:val="084A7B62"/>
    <w:rsid w:val="08536A17"/>
    <w:rsid w:val="087E15BA"/>
    <w:rsid w:val="08803584"/>
    <w:rsid w:val="08AA23AF"/>
    <w:rsid w:val="08E12275"/>
    <w:rsid w:val="092D54BA"/>
    <w:rsid w:val="09434698"/>
    <w:rsid w:val="095073FA"/>
    <w:rsid w:val="09684744"/>
    <w:rsid w:val="0978425B"/>
    <w:rsid w:val="098552F6"/>
    <w:rsid w:val="09C851E3"/>
    <w:rsid w:val="0A0501E5"/>
    <w:rsid w:val="0A083831"/>
    <w:rsid w:val="0A122902"/>
    <w:rsid w:val="0A145F7E"/>
    <w:rsid w:val="0AA7129C"/>
    <w:rsid w:val="0AC41E4E"/>
    <w:rsid w:val="0AD100C7"/>
    <w:rsid w:val="0AD83203"/>
    <w:rsid w:val="0ADC51AE"/>
    <w:rsid w:val="0AE41BA8"/>
    <w:rsid w:val="0AF3003D"/>
    <w:rsid w:val="0B2B3C7B"/>
    <w:rsid w:val="0B3C7C36"/>
    <w:rsid w:val="0B4B1C27"/>
    <w:rsid w:val="0B5C2086"/>
    <w:rsid w:val="0B6131F9"/>
    <w:rsid w:val="0B927856"/>
    <w:rsid w:val="0B9C2483"/>
    <w:rsid w:val="0BC419DA"/>
    <w:rsid w:val="0C087B18"/>
    <w:rsid w:val="0C2C7CAB"/>
    <w:rsid w:val="0C2F32F7"/>
    <w:rsid w:val="0C913FB2"/>
    <w:rsid w:val="0C963FA9"/>
    <w:rsid w:val="0C970E9C"/>
    <w:rsid w:val="0CAF4438"/>
    <w:rsid w:val="0CC021A1"/>
    <w:rsid w:val="0CCF4ADA"/>
    <w:rsid w:val="0D166366"/>
    <w:rsid w:val="0D3037CB"/>
    <w:rsid w:val="0D4239EB"/>
    <w:rsid w:val="0D6945E7"/>
    <w:rsid w:val="0D703BC7"/>
    <w:rsid w:val="0D7C07BE"/>
    <w:rsid w:val="0D817B82"/>
    <w:rsid w:val="0D847672"/>
    <w:rsid w:val="0DA675E9"/>
    <w:rsid w:val="0DAD4070"/>
    <w:rsid w:val="0DB42715"/>
    <w:rsid w:val="0DB735A4"/>
    <w:rsid w:val="0DBF4B4E"/>
    <w:rsid w:val="0DCF4D92"/>
    <w:rsid w:val="0DF06AB6"/>
    <w:rsid w:val="0E0A5DCA"/>
    <w:rsid w:val="0E100F06"/>
    <w:rsid w:val="0E855450"/>
    <w:rsid w:val="0E8B7268"/>
    <w:rsid w:val="0EAF6971"/>
    <w:rsid w:val="0ECC307F"/>
    <w:rsid w:val="0ECF491D"/>
    <w:rsid w:val="0ED63EFE"/>
    <w:rsid w:val="0EDB1514"/>
    <w:rsid w:val="0F437CE3"/>
    <w:rsid w:val="0F4C41C0"/>
    <w:rsid w:val="0F5337A0"/>
    <w:rsid w:val="0F657030"/>
    <w:rsid w:val="0F713C26"/>
    <w:rsid w:val="0F7A2ADB"/>
    <w:rsid w:val="0FC30926"/>
    <w:rsid w:val="0FC95811"/>
    <w:rsid w:val="0FEE34C9"/>
    <w:rsid w:val="0FFA3C1C"/>
    <w:rsid w:val="0FFD54BA"/>
    <w:rsid w:val="10022AD1"/>
    <w:rsid w:val="10066A65"/>
    <w:rsid w:val="1017657C"/>
    <w:rsid w:val="102E1B18"/>
    <w:rsid w:val="107240FA"/>
    <w:rsid w:val="10727C56"/>
    <w:rsid w:val="10A0102D"/>
    <w:rsid w:val="10BE733F"/>
    <w:rsid w:val="10D26947"/>
    <w:rsid w:val="10F16DCD"/>
    <w:rsid w:val="111331E7"/>
    <w:rsid w:val="11230F50"/>
    <w:rsid w:val="11246949"/>
    <w:rsid w:val="112A22DF"/>
    <w:rsid w:val="1131366D"/>
    <w:rsid w:val="1134315E"/>
    <w:rsid w:val="11423ACC"/>
    <w:rsid w:val="11496C09"/>
    <w:rsid w:val="115B2DE0"/>
    <w:rsid w:val="116F23E8"/>
    <w:rsid w:val="11F12DFD"/>
    <w:rsid w:val="11F72B09"/>
    <w:rsid w:val="11F748B7"/>
    <w:rsid w:val="12086AC4"/>
    <w:rsid w:val="123C7034"/>
    <w:rsid w:val="12577104"/>
    <w:rsid w:val="12604734"/>
    <w:rsid w:val="129465AA"/>
    <w:rsid w:val="12957C2C"/>
    <w:rsid w:val="12AF4781"/>
    <w:rsid w:val="12C81DAF"/>
    <w:rsid w:val="13223BB5"/>
    <w:rsid w:val="13370CE3"/>
    <w:rsid w:val="1340228E"/>
    <w:rsid w:val="13516249"/>
    <w:rsid w:val="13525B1D"/>
    <w:rsid w:val="135E0459"/>
    <w:rsid w:val="1360648C"/>
    <w:rsid w:val="13723C23"/>
    <w:rsid w:val="13855EF2"/>
    <w:rsid w:val="138C54D3"/>
    <w:rsid w:val="13AA5959"/>
    <w:rsid w:val="13C06B9F"/>
    <w:rsid w:val="13C92283"/>
    <w:rsid w:val="141B23B3"/>
    <w:rsid w:val="143F0797"/>
    <w:rsid w:val="144D6A10"/>
    <w:rsid w:val="14553B17"/>
    <w:rsid w:val="14795A57"/>
    <w:rsid w:val="14857C64"/>
    <w:rsid w:val="149442E3"/>
    <w:rsid w:val="14A223AE"/>
    <w:rsid w:val="14A5684C"/>
    <w:rsid w:val="14A66120"/>
    <w:rsid w:val="14B051F1"/>
    <w:rsid w:val="14DC5FE6"/>
    <w:rsid w:val="14F85C4C"/>
    <w:rsid w:val="150177FB"/>
    <w:rsid w:val="151A266A"/>
    <w:rsid w:val="152A6D51"/>
    <w:rsid w:val="152D6842"/>
    <w:rsid w:val="15655FDB"/>
    <w:rsid w:val="15842905"/>
    <w:rsid w:val="15895FF0"/>
    <w:rsid w:val="159E5049"/>
    <w:rsid w:val="15C26F8A"/>
    <w:rsid w:val="15F34710"/>
    <w:rsid w:val="160752E5"/>
    <w:rsid w:val="16297009"/>
    <w:rsid w:val="16322361"/>
    <w:rsid w:val="164E081E"/>
    <w:rsid w:val="165D5F9A"/>
    <w:rsid w:val="16CB1E6E"/>
    <w:rsid w:val="16DA0303"/>
    <w:rsid w:val="16ED6288"/>
    <w:rsid w:val="16EF3DAF"/>
    <w:rsid w:val="1720040C"/>
    <w:rsid w:val="174340FA"/>
    <w:rsid w:val="17606A5A"/>
    <w:rsid w:val="176302F9"/>
    <w:rsid w:val="17854713"/>
    <w:rsid w:val="17EC02EE"/>
    <w:rsid w:val="17F90C5D"/>
    <w:rsid w:val="17FC71C7"/>
    <w:rsid w:val="17FE0021"/>
    <w:rsid w:val="1808225A"/>
    <w:rsid w:val="18221F62"/>
    <w:rsid w:val="18381785"/>
    <w:rsid w:val="183879D7"/>
    <w:rsid w:val="188E3A9B"/>
    <w:rsid w:val="18952734"/>
    <w:rsid w:val="189A5F9C"/>
    <w:rsid w:val="189B3AC2"/>
    <w:rsid w:val="18D21BDA"/>
    <w:rsid w:val="18E831AB"/>
    <w:rsid w:val="18E86D07"/>
    <w:rsid w:val="18FA6A3B"/>
    <w:rsid w:val="193C7053"/>
    <w:rsid w:val="19597C05"/>
    <w:rsid w:val="19A31463"/>
    <w:rsid w:val="19C07C84"/>
    <w:rsid w:val="19E219A9"/>
    <w:rsid w:val="1A045DC3"/>
    <w:rsid w:val="1A4E703E"/>
    <w:rsid w:val="1A8567D8"/>
    <w:rsid w:val="1AB07CF9"/>
    <w:rsid w:val="1ADC0AEE"/>
    <w:rsid w:val="1AE23C2A"/>
    <w:rsid w:val="1AE3458F"/>
    <w:rsid w:val="1AE6371B"/>
    <w:rsid w:val="1AEE0821"/>
    <w:rsid w:val="1B0818E3"/>
    <w:rsid w:val="1B23671D"/>
    <w:rsid w:val="1B3721C8"/>
    <w:rsid w:val="1B3B1CB8"/>
    <w:rsid w:val="1B6603B7"/>
    <w:rsid w:val="1B714BDA"/>
    <w:rsid w:val="1B7F1479"/>
    <w:rsid w:val="1B8151F1"/>
    <w:rsid w:val="1B9118D8"/>
    <w:rsid w:val="1B944F25"/>
    <w:rsid w:val="1BA86C22"/>
    <w:rsid w:val="1BE0460E"/>
    <w:rsid w:val="1BE13EE2"/>
    <w:rsid w:val="1BE834C2"/>
    <w:rsid w:val="1BFB1448"/>
    <w:rsid w:val="1C13053F"/>
    <w:rsid w:val="1C281B11"/>
    <w:rsid w:val="1C424981"/>
    <w:rsid w:val="1C527BE1"/>
    <w:rsid w:val="1C752FA8"/>
    <w:rsid w:val="1C9176B6"/>
    <w:rsid w:val="1C9A0C60"/>
    <w:rsid w:val="1CAD0994"/>
    <w:rsid w:val="1CD04682"/>
    <w:rsid w:val="1CD32679"/>
    <w:rsid w:val="1CD557F5"/>
    <w:rsid w:val="1CD87093"/>
    <w:rsid w:val="1CF739BD"/>
    <w:rsid w:val="1CFD2F9D"/>
    <w:rsid w:val="1D100F23"/>
    <w:rsid w:val="1D6B43AB"/>
    <w:rsid w:val="1D9E02DC"/>
    <w:rsid w:val="1DC615E1"/>
    <w:rsid w:val="1DE57CB9"/>
    <w:rsid w:val="1DF47EFC"/>
    <w:rsid w:val="1E592455"/>
    <w:rsid w:val="1E5D3CF4"/>
    <w:rsid w:val="1E6D1634"/>
    <w:rsid w:val="1E7828DC"/>
    <w:rsid w:val="1EA447FB"/>
    <w:rsid w:val="1EC93137"/>
    <w:rsid w:val="1ED1023E"/>
    <w:rsid w:val="1EDA5344"/>
    <w:rsid w:val="1EE461C3"/>
    <w:rsid w:val="1EE937D9"/>
    <w:rsid w:val="1EEE0DF0"/>
    <w:rsid w:val="1F3E77A1"/>
    <w:rsid w:val="1F5F3A9B"/>
    <w:rsid w:val="1F9279CD"/>
    <w:rsid w:val="1F941997"/>
    <w:rsid w:val="1FAB4F33"/>
    <w:rsid w:val="1FBA6CC6"/>
    <w:rsid w:val="1FE346CD"/>
    <w:rsid w:val="1FFC12EA"/>
    <w:rsid w:val="2007660D"/>
    <w:rsid w:val="200D34F7"/>
    <w:rsid w:val="20191E9C"/>
    <w:rsid w:val="20234AC9"/>
    <w:rsid w:val="20393F81"/>
    <w:rsid w:val="2040567B"/>
    <w:rsid w:val="20825C93"/>
    <w:rsid w:val="20992FDD"/>
    <w:rsid w:val="20AD0837"/>
    <w:rsid w:val="20B6593D"/>
    <w:rsid w:val="20B83463"/>
    <w:rsid w:val="20BA367F"/>
    <w:rsid w:val="20D14525"/>
    <w:rsid w:val="20E424AA"/>
    <w:rsid w:val="20E93F65"/>
    <w:rsid w:val="21091F11"/>
    <w:rsid w:val="210B5C89"/>
    <w:rsid w:val="211B39F2"/>
    <w:rsid w:val="21246D4B"/>
    <w:rsid w:val="2144119B"/>
    <w:rsid w:val="214F23A0"/>
    <w:rsid w:val="215C64E4"/>
    <w:rsid w:val="217F0425"/>
    <w:rsid w:val="219C0FD7"/>
    <w:rsid w:val="21A734D8"/>
    <w:rsid w:val="21A810FD"/>
    <w:rsid w:val="21B52099"/>
    <w:rsid w:val="21DF2C72"/>
    <w:rsid w:val="21E057B1"/>
    <w:rsid w:val="2208041A"/>
    <w:rsid w:val="22097CEF"/>
    <w:rsid w:val="220B3A67"/>
    <w:rsid w:val="224156DA"/>
    <w:rsid w:val="22462CF1"/>
    <w:rsid w:val="22A75E85"/>
    <w:rsid w:val="22CF718A"/>
    <w:rsid w:val="22DE5EC8"/>
    <w:rsid w:val="22E26EBD"/>
    <w:rsid w:val="22E9024C"/>
    <w:rsid w:val="22FB1D2D"/>
    <w:rsid w:val="23007343"/>
    <w:rsid w:val="23050799"/>
    <w:rsid w:val="23250B58"/>
    <w:rsid w:val="23256DAA"/>
    <w:rsid w:val="23307C29"/>
    <w:rsid w:val="23377209"/>
    <w:rsid w:val="2378337E"/>
    <w:rsid w:val="23954084"/>
    <w:rsid w:val="23991E57"/>
    <w:rsid w:val="23C91E2B"/>
    <w:rsid w:val="23D34A58"/>
    <w:rsid w:val="23D36806"/>
    <w:rsid w:val="23DF51AB"/>
    <w:rsid w:val="23E629DD"/>
    <w:rsid w:val="2421689B"/>
    <w:rsid w:val="242F6132"/>
    <w:rsid w:val="242F7EE0"/>
    <w:rsid w:val="244B0C98"/>
    <w:rsid w:val="245711E5"/>
    <w:rsid w:val="245E07C6"/>
    <w:rsid w:val="248A08C7"/>
    <w:rsid w:val="249944AC"/>
    <w:rsid w:val="24E2618B"/>
    <w:rsid w:val="25207829"/>
    <w:rsid w:val="25257535"/>
    <w:rsid w:val="253F4153"/>
    <w:rsid w:val="25496D80"/>
    <w:rsid w:val="256A4F48"/>
    <w:rsid w:val="25710085"/>
    <w:rsid w:val="25AC730F"/>
    <w:rsid w:val="25C91C6F"/>
    <w:rsid w:val="261E645E"/>
    <w:rsid w:val="262D401F"/>
    <w:rsid w:val="265E685B"/>
    <w:rsid w:val="26720558"/>
    <w:rsid w:val="267609FD"/>
    <w:rsid w:val="26795443"/>
    <w:rsid w:val="2685203A"/>
    <w:rsid w:val="26865DB2"/>
    <w:rsid w:val="268D0EEE"/>
    <w:rsid w:val="26A36964"/>
    <w:rsid w:val="26BB5A5B"/>
    <w:rsid w:val="26EA4592"/>
    <w:rsid w:val="26F61189"/>
    <w:rsid w:val="26FB67A0"/>
    <w:rsid w:val="27174C5C"/>
    <w:rsid w:val="271E248E"/>
    <w:rsid w:val="272E5D11"/>
    <w:rsid w:val="273D2914"/>
    <w:rsid w:val="2749750B"/>
    <w:rsid w:val="274A5031"/>
    <w:rsid w:val="275B723E"/>
    <w:rsid w:val="279938C3"/>
    <w:rsid w:val="27B64475"/>
    <w:rsid w:val="27BA3F65"/>
    <w:rsid w:val="27D56FF1"/>
    <w:rsid w:val="27D72D69"/>
    <w:rsid w:val="27ED433A"/>
    <w:rsid w:val="27F751B9"/>
    <w:rsid w:val="28011B94"/>
    <w:rsid w:val="2825118E"/>
    <w:rsid w:val="283C0E1E"/>
    <w:rsid w:val="287405B8"/>
    <w:rsid w:val="28793E20"/>
    <w:rsid w:val="287C121A"/>
    <w:rsid w:val="289A78F2"/>
    <w:rsid w:val="28AF6CCE"/>
    <w:rsid w:val="28B22E8E"/>
    <w:rsid w:val="28B9246E"/>
    <w:rsid w:val="292D69B8"/>
    <w:rsid w:val="29347D47"/>
    <w:rsid w:val="294A756A"/>
    <w:rsid w:val="29657F00"/>
    <w:rsid w:val="298C36DF"/>
    <w:rsid w:val="29946A38"/>
    <w:rsid w:val="29A529F3"/>
    <w:rsid w:val="29A62C82"/>
    <w:rsid w:val="29BD5F8E"/>
    <w:rsid w:val="29CE5AA6"/>
    <w:rsid w:val="29EE439A"/>
    <w:rsid w:val="2A32072A"/>
    <w:rsid w:val="2A377AEF"/>
    <w:rsid w:val="2A6401B8"/>
    <w:rsid w:val="2A726D79"/>
    <w:rsid w:val="2AA5481A"/>
    <w:rsid w:val="2AB27175"/>
    <w:rsid w:val="2AC450FA"/>
    <w:rsid w:val="2AD16FAD"/>
    <w:rsid w:val="2AFC2AE6"/>
    <w:rsid w:val="2B2A1401"/>
    <w:rsid w:val="2B4C1378"/>
    <w:rsid w:val="2B817C7B"/>
    <w:rsid w:val="2BE9306B"/>
    <w:rsid w:val="2C4604BD"/>
    <w:rsid w:val="2C493B09"/>
    <w:rsid w:val="2C714E0E"/>
    <w:rsid w:val="2C7212B2"/>
    <w:rsid w:val="2C723060"/>
    <w:rsid w:val="2C732934"/>
    <w:rsid w:val="2C8763FC"/>
    <w:rsid w:val="2C8D1C48"/>
    <w:rsid w:val="2C9254B0"/>
    <w:rsid w:val="2C937E06"/>
    <w:rsid w:val="2C970D19"/>
    <w:rsid w:val="2C9E7D7D"/>
    <w:rsid w:val="2CA23219"/>
    <w:rsid w:val="2CD5539D"/>
    <w:rsid w:val="2CE61358"/>
    <w:rsid w:val="2CF9552F"/>
    <w:rsid w:val="2D031F0A"/>
    <w:rsid w:val="2D0A773C"/>
    <w:rsid w:val="2D48571A"/>
    <w:rsid w:val="2D4C1B03"/>
    <w:rsid w:val="2D524C40"/>
    <w:rsid w:val="2D811081"/>
    <w:rsid w:val="2DAF3E40"/>
    <w:rsid w:val="2DCF7851"/>
    <w:rsid w:val="2DF126AA"/>
    <w:rsid w:val="2DFF6B75"/>
    <w:rsid w:val="2E1B7727"/>
    <w:rsid w:val="2E277E7A"/>
    <w:rsid w:val="2E444588"/>
    <w:rsid w:val="2E876B6B"/>
    <w:rsid w:val="2E951288"/>
    <w:rsid w:val="2EA17C2D"/>
    <w:rsid w:val="2EA9088F"/>
    <w:rsid w:val="2EBC05C2"/>
    <w:rsid w:val="2EC27BA3"/>
    <w:rsid w:val="2ED022C0"/>
    <w:rsid w:val="2EF7784D"/>
    <w:rsid w:val="2EFF6701"/>
    <w:rsid w:val="2F971630"/>
    <w:rsid w:val="2F974B8C"/>
    <w:rsid w:val="2F9C6646"/>
    <w:rsid w:val="2FAA2B11"/>
    <w:rsid w:val="2FB43990"/>
    <w:rsid w:val="2FDB716E"/>
    <w:rsid w:val="2FEA115F"/>
    <w:rsid w:val="2FF344B8"/>
    <w:rsid w:val="2FF71F90"/>
    <w:rsid w:val="2FFE2E5D"/>
    <w:rsid w:val="300541EB"/>
    <w:rsid w:val="300E12F2"/>
    <w:rsid w:val="301D7787"/>
    <w:rsid w:val="30336FAA"/>
    <w:rsid w:val="306E1D90"/>
    <w:rsid w:val="30872E52"/>
    <w:rsid w:val="30890978"/>
    <w:rsid w:val="30A9101A"/>
    <w:rsid w:val="30CB2E10"/>
    <w:rsid w:val="30DC319E"/>
    <w:rsid w:val="30DD0CC4"/>
    <w:rsid w:val="316118F5"/>
    <w:rsid w:val="318A0E4C"/>
    <w:rsid w:val="318D791C"/>
    <w:rsid w:val="318F6782"/>
    <w:rsid w:val="31903F88"/>
    <w:rsid w:val="319C46DB"/>
    <w:rsid w:val="31B25CAD"/>
    <w:rsid w:val="31F167D5"/>
    <w:rsid w:val="31FC517A"/>
    <w:rsid w:val="32171FB4"/>
    <w:rsid w:val="323808A8"/>
    <w:rsid w:val="324803BF"/>
    <w:rsid w:val="324C4353"/>
    <w:rsid w:val="325154C6"/>
    <w:rsid w:val="32560D2E"/>
    <w:rsid w:val="326351F9"/>
    <w:rsid w:val="32780CA4"/>
    <w:rsid w:val="32851613"/>
    <w:rsid w:val="32861C19"/>
    <w:rsid w:val="328A09D8"/>
    <w:rsid w:val="329F0927"/>
    <w:rsid w:val="32A001FB"/>
    <w:rsid w:val="32FA3DAF"/>
    <w:rsid w:val="331704BD"/>
    <w:rsid w:val="33446DD8"/>
    <w:rsid w:val="33537941"/>
    <w:rsid w:val="337C6572"/>
    <w:rsid w:val="3383387C"/>
    <w:rsid w:val="33947D60"/>
    <w:rsid w:val="33BA52ED"/>
    <w:rsid w:val="33C61EE3"/>
    <w:rsid w:val="33CA3782"/>
    <w:rsid w:val="33D95773"/>
    <w:rsid w:val="33DE0BA0"/>
    <w:rsid w:val="33E32A95"/>
    <w:rsid w:val="34086058"/>
    <w:rsid w:val="340A1DD0"/>
    <w:rsid w:val="34237336"/>
    <w:rsid w:val="342A2472"/>
    <w:rsid w:val="34324250"/>
    <w:rsid w:val="343E7CCC"/>
    <w:rsid w:val="34605E94"/>
    <w:rsid w:val="34645984"/>
    <w:rsid w:val="347D07F4"/>
    <w:rsid w:val="349D49F2"/>
    <w:rsid w:val="34A83397"/>
    <w:rsid w:val="34C06933"/>
    <w:rsid w:val="34FA0097"/>
    <w:rsid w:val="3511718E"/>
    <w:rsid w:val="35305866"/>
    <w:rsid w:val="353F5AA9"/>
    <w:rsid w:val="354457B6"/>
    <w:rsid w:val="354E3F3E"/>
    <w:rsid w:val="35571045"/>
    <w:rsid w:val="356E638F"/>
    <w:rsid w:val="358768A1"/>
    <w:rsid w:val="358D0F0B"/>
    <w:rsid w:val="35A90AF7"/>
    <w:rsid w:val="35C424BC"/>
    <w:rsid w:val="35C83CF1"/>
    <w:rsid w:val="35D72186"/>
    <w:rsid w:val="36056CF3"/>
    <w:rsid w:val="36201D7F"/>
    <w:rsid w:val="36252EF1"/>
    <w:rsid w:val="363E6BCE"/>
    <w:rsid w:val="36704443"/>
    <w:rsid w:val="36783969"/>
    <w:rsid w:val="367E2601"/>
    <w:rsid w:val="36820344"/>
    <w:rsid w:val="36B67FED"/>
    <w:rsid w:val="36E96615"/>
    <w:rsid w:val="37797999"/>
    <w:rsid w:val="3790083E"/>
    <w:rsid w:val="37B26A07"/>
    <w:rsid w:val="37C624B2"/>
    <w:rsid w:val="37C64260"/>
    <w:rsid w:val="37C91FA2"/>
    <w:rsid w:val="37D050DF"/>
    <w:rsid w:val="37D20E57"/>
    <w:rsid w:val="37D526F5"/>
    <w:rsid w:val="380F5C07"/>
    <w:rsid w:val="38174ABC"/>
    <w:rsid w:val="381C20D2"/>
    <w:rsid w:val="384A4E91"/>
    <w:rsid w:val="388D2FD0"/>
    <w:rsid w:val="389D1465"/>
    <w:rsid w:val="38F4304F"/>
    <w:rsid w:val="3949339B"/>
    <w:rsid w:val="39733157"/>
    <w:rsid w:val="398029E4"/>
    <w:rsid w:val="39B50A30"/>
    <w:rsid w:val="39E92488"/>
    <w:rsid w:val="3A0D6176"/>
    <w:rsid w:val="3A173B31"/>
    <w:rsid w:val="3A184B1B"/>
    <w:rsid w:val="3A1E0383"/>
    <w:rsid w:val="3A1E4827"/>
    <w:rsid w:val="3A230C04"/>
    <w:rsid w:val="3A2A31CC"/>
    <w:rsid w:val="3A2C384F"/>
    <w:rsid w:val="3A2F2590"/>
    <w:rsid w:val="3A404136"/>
    <w:rsid w:val="3A4F2C33"/>
    <w:rsid w:val="3A4F483C"/>
    <w:rsid w:val="3A6164C2"/>
    <w:rsid w:val="3A6D4E67"/>
    <w:rsid w:val="3A74058B"/>
    <w:rsid w:val="3A766411"/>
    <w:rsid w:val="3A804B9A"/>
    <w:rsid w:val="3A8F1281"/>
    <w:rsid w:val="3AE25855"/>
    <w:rsid w:val="3AF61300"/>
    <w:rsid w:val="3B0C0B24"/>
    <w:rsid w:val="3B255741"/>
    <w:rsid w:val="3B7D732B"/>
    <w:rsid w:val="3BA47D82"/>
    <w:rsid w:val="3BB32D4D"/>
    <w:rsid w:val="3BC35686"/>
    <w:rsid w:val="3BCB0097"/>
    <w:rsid w:val="3BEE0229"/>
    <w:rsid w:val="3BF770DE"/>
    <w:rsid w:val="3C21415B"/>
    <w:rsid w:val="3C830972"/>
    <w:rsid w:val="3CC72F54"/>
    <w:rsid w:val="3CF61143"/>
    <w:rsid w:val="3D030443"/>
    <w:rsid w:val="3D324146"/>
    <w:rsid w:val="3D4A148F"/>
    <w:rsid w:val="3D4E5423"/>
    <w:rsid w:val="3D5D5666"/>
    <w:rsid w:val="3D9A7025"/>
    <w:rsid w:val="3D9D5A63"/>
    <w:rsid w:val="3DA9265A"/>
    <w:rsid w:val="3DA94408"/>
    <w:rsid w:val="3DB50FFF"/>
    <w:rsid w:val="3DBA03C3"/>
    <w:rsid w:val="3DCE0312"/>
    <w:rsid w:val="3DFD6502"/>
    <w:rsid w:val="3E083824"/>
    <w:rsid w:val="3E164325"/>
    <w:rsid w:val="3E2B12C1"/>
    <w:rsid w:val="3E5500EC"/>
    <w:rsid w:val="3E5E28D4"/>
    <w:rsid w:val="3E6D2026"/>
    <w:rsid w:val="3E704F26"/>
    <w:rsid w:val="3E873AB3"/>
    <w:rsid w:val="3E8A248B"/>
    <w:rsid w:val="3E950E30"/>
    <w:rsid w:val="3ED03C16"/>
    <w:rsid w:val="3EE871B2"/>
    <w:rsid w:val="3EF20030"/>
    <w:rsid w:val="3EF23B8C"/>
    <w:rsid w:val="3F0A537A"/>
    <w:rsid w:val="3F177A97"/>
    <w:rsid w:val="3F2B0932"/>
    <w:rsid w:val="3F2F4DE1"/>
    <w:rsid w:val="3F514D57"/>
    <w:rsid w:val="3F6444D4"/>
    <w:rsid w:val="3F6A5E19"/>
    <w:rsid w:val="3F7171A7"/>
    <w:rsid w:val="3FBF43B6"/>
    <w:rsid w:val="3FEC0F24"/>
    <w:rsid w:val="40041DC9"/>
    <w:rsid w:val="404C551E"/>
    <w:rsid w:val="40642868"/>
    <w:rsid w:val="406960D0"/>
    <w:rsid w:val="406B1E48"/>
    <w:rsid w:val="406E36E7"/>
    <w:rsid w:val="40786313"/>
    <w:rsid w:val="409273D5"/>
    <w:rsid w:val="40AA78A1"/>
    <w:rsid w:val="40B7508E"/>
    <w:rsid w:val="40CF23D7"/>
    <w:rsid w:val="40D07EFD"/>
    <w:rsid w:val="40D519B8"/>
    <w:rsid w:val="40DE6ABE"/>
    <w:rsid w:val="41216845"/>
    <w:rsid w:val="414C1C7A"/>
    <w:rsid w:val="4157061F"/>
    <w:rsid w:val="41885B91"/>
    <w:rsid w:val="418A09F4"/>
    <w:rsid w:val="41BE244C"/>
    <w:rsid w:val="41E225DE"/>
    <w:rsid w:val="41EA3241"/>
    <w:rsid w:val="4214206C"/>
    <w:rsid w:val="422746A1"/>
    <w:rsid w:val="423229B8"/>
    <w:rsid w:val="42707BEA"/>
    <w:rsid w:val="427A45C5"/>
    <w:rsid w:val="42975177"/>
    <w:rsid w:val="429D02B3"/>
    <w:rsid w:val="42D40179"/>
    <w:rsid w:val="42ED123B"/>
    <w:rsid w:val="430A3B9B"/>
    <w:rsid w:val="43192030"/>
    <w:rsid w:val="432F476F"/>
    <w:rsid w:val="4340580E"/>
    <w:rsid w:val="43452E25"/>
    <w:rsid w:val="435A7F52"/>
    <w:rsid w:val="435B2648"/>
    <w:rsid w:val="43635059"/>
    <w:rsid w:val="436808C1"/>
    <w:rsid w:val="439E2535"/>
    <w:rsid w:val="43B6162D"/>
    <w:rsid w:val="44476729"/>
    <w:rsid w:val="445F1CC4"/>
    <w:rsid w:val="4462270B"/>
    <w:rsid w:val="44B71B00"/>
    <w:rsid w:val="44BC0EC5"/>
    <w:rsid w:val="44CB1108"/>
    <w:rsid w:val="44CC560E"/>
    <w:rsid w:val="451F76A5"/>
    <w:rsid w:val="45344EFF"/>
    <w:rsid w:val="454E475C"/>
    <w:rsid w:val="457E2FEE"/>
    <w:rsid w:val="45886FF9"/>
    <w:rsid w:val="459534C4"/>
    <w:rsid w:val="45B7168C"/>
    <w:rsid w:val="45BE2A1A"/>
    <w:rsid w:val="45DC10F2"/>
    <w:rsid w:val="46511AE0"/>
    <w:rsid w:val="4665733A"/>
    <w:rsid w:val="46767799"/>
    <w:rsid w:val="467C3575"/>
    <w:rsid w:val="46826C09"/>
    <w:rsid w:val="4698770F"/>
    <w:rsid w:val="469A6FE4"/>
    <w:rsid w:val="46B04A59"/>
    <w:rsid w:val="46B36C86"/>
    <w:rsid w:val="46B80CAA"/>
    <w:rsid w:val="47095F17"/>
    <w:rsid w:val="47121270"/>
    <w:rsid w:val="473867FC"/>
    <w:rsid w:val="474451A1"/>
    <w:rsid w:val="475F3D89"/>
    <w:rsid w:val="47745A86"/>
    <w:rsid w:val="478D7FDC"/>
    <w:rsid w:val="47A04ACD"/>
    <w:rsid w:val="47BE7A97"/>
    <w:rsid w:val="47CA56A6"/>
    <w:rsid w:val="47E30E5E"/>
    <w:rsid w:val="47EA7AF7"/>
    <w:rsid w:val="47ED5839"/>
    <w:rsid w:val="47F72214"/>
    <w:rsid w:val="48096C2B"/>
    <w:rsid w:val="480C3F11"/>
    <w:rsid w:val="480F57AF"/>
    <w:rsid w:val="48276F9D"/>
    <w:rsid w:val="48284AC3"/>
    <w:rsid w:val="48382F58"/>
    <w:rsid w:val="48561B85"/>
    <w:rsid w:val="48623B31"/>
    <w:rsid w:val="48790E7B"/>
    <w:rsid w:val="48943F06"/>
    <w:rsid w:val="48A73C3A"/>
    <w:rsid w:val="48A91760"/>
    <w:rsid w:val="48B40105"/>
    <w:rsid w:val="48BD3312"/>
    <w:rsid w:val="48BE1B68"/>
    <w:rsid w:val="48CC544E"/>
    <w:rsid w:val="48E00EFA"/>
    <w:rsid w:val="48E7672C"/>
    <w:rsid w:val="493D00FA"/>
    <w:rsid w:val="49417BEA"/>
    <w:rsid w:val="494B2817"/>
    <w:rsid w:val="4968161B"/>
    <w:rsid w:val="49731D6E"/>
    <w:rsid w:val="498B355B"/>
    <w:rsid w:val="499A554C"/>
    <w:rsid w:val="49AF0FF8"/>
    <w:rsid w:val="49B303BC"/>
    <w:rsid w:val="4A084BAC"/>
    <w:rsid w:val="4A443E36"/>
    <w:rsid w:val="4A62250E"/>
    <w:rsid w:val="4A946440"/>
    <w:rsid w:val="4A9E2E1A"/>
    <w:rsid w:val="4AB60164"/>
    <w:rsid w:val="4ADF76BB"/>
    <w:rsid w:val="4AF313B8"/>
    <w:rsid w:val="4AF33166"/>
    <w:rsid w:val="4AF970D3"/>
    <w:rsid w:val="4B0233A9"/>
    <w:rsid w:val="4B1067E7"/>
    <w:rsid w:val="4B1F5D09"/>
    <w:rsid w:val="4B201A81"/>
    <w:rsid w:val="4B427C4A"/>
    <w:rsid w:val="4B431506"/>
    <w:rsid w:val="4B4734B2"/>
    <w:rsid w:val="4B5217BF"/>
    <w:rsid w:val="4B5736F5"/>
    <w:rsid w:val="4B69167A"/>
    <w:rsid w:val="4BE8259F"/>
    <w:rsid w:val="4C63431C"/>
    <w:rsid w:val="4C651E42"/>
    <w:rsid w:val="4C6A7509"/>
    <w:rsid w:val="4C7E1155"/>
    <w:rsid w:val="4CA010CC"/>
    <w:rsid w:val="4CD3324F"/>
    <w:rsid w:val="4D01600E"/>
    <w:rsid w:val="4D265A75"/>
    <w:rsid w:val="4D272C95"/>
    <w:rsid w:val="4D2E0486"/>
    <w:rsid w:val="4D3D469F"/>
    <w:rsid w:val="4D4C4DB0"/>
    <w:rsid w:val="4D662315"/>
    <w:rsid w:val="4D7A7B6F"/>
    <w:rsid w:val="4D8E361A"/>
    <w:rsid w:val="4DA44BEC"/>
    <w:rsid w:val="4DD23507"/>
    <w:rsid w:val="4DDE00FE"/>
    <w:rsid w:val="4DEB2922"/>
    <w:rsid w:val="4DEF40B9"/>
    <w:rsid w:val="4E06594B"/>
    <w:rsid w:val="4E361CE8"/>
    <w:rsid w:val="4E3B5550"/>
    <w:rsid w:val="4E3E294A"/>
    <w:rsid w:val="4E5E4D9B"/>
    <w:rsid w:val="4E6525CD"/>
    <w:rsid w:val="4E916F1E"/>
    <w:rsid w:val="4E992277"/>
    <w:rsid w:val="4E9F0568"/>
    <w:rsid w:val="4EAC01FC"/>
    <w:rsid w:val="4EAD187E"/>
    <w:rsid w:val="4EB8094F"/>
    <w:rsid w:val="4EC310A1"/>
    <w:rsid w:val="4EC72940"/>
    <w:rsid w:val="4F043B94"/>
    <w:rsid w:val="4F2064F4"/>
    <w:rsid w:val="4F22401A"/>
    <w:rsid w:val="4F367AC5"/>
    <w:rsid w:val="4F3D2C02"/>
    <w:rsid w:val="4F7D56F4"/>
    <w:rsid w:val="4F8545A9"/>
    <w:rsid w:val="4FBC621D"/>
    <w:rsid w:val="4FE13ED5"/>
    <w:rsid w:val="4FE70DC0"/>
    <w:rsid w:val="503C735D"/>
    <w:rsid w:val="509B4084"/>
    <w:rsid w:val="50C730CB"/>
    <w:rsid w:val="512322CB"/>
    <w:rsid w:val="51404C2B"/>
    <w:rsid w:val="514C537E"/>
    <w:rsid w:val="514E7348"/>
    <w:rsid w:val="516A3A56"/>
    <w:rsid w:val="516C3C72"/>
    <w:rsid w:val="518014CC"/>
    <w:rsid w:val="518A5142"/>
    <w:rsid w:val="51962A9D"/>
    <w:rsid w:val="51A90A23"/>
    <w:rsid w:val="51AC22C1"/>
    <w:rsid w:val="51D75590"/>
    <w:rsid w:val="51E11F6A"/>
    <w:rsid w:val="522956BF"/>
    <w:rsid w:val="525766D1"/>
    <w:rsid w:val="52662470"/>
    <w:rsid w:val="52F36AAE"/>
    <w:rsid w:val="52F537F4"/>
    <w:rsid w:val="532E5683"/>
    <w:rsid w:val="53513120"/>
    <w:rsid w:val="53650979"/>
    <w:rsid w:val="53684FB5"/>
    <w:rsid w:val="5371731E"/>
    <w:rsid w:val="5382152B"/>
    <w:rsid w:val="5382777D"/>
    <w:rsid w:val="53A72D40"/>
    <w:rsid w:val="53E45D42"/>
    <w:rsid w:val="54063F0A"/>
    <w:rsid w:val="540C7047"/>
    <w:rsid w:val="54971006"/>
    <w:rsid w:val="54A11E85"/>
    <w:rsid w:val="54B020C8"/>
    <w:rsid w:val="54BE47E5"/>
    <w:rsid w:val="54C3004D"/>
    <w:rsid w:val="54D1276A"/>
    <w:rsid w:val="54F226E1"/>
    <w:rsid w:val="54F71AA5"/>
    <w:rsid w:val="55050666"/>
    <w:rsid w:val="55124B31"/>
    <w:rsid w:val="5514698C"/>
    <w:rsid w:val="552C5BF2"/>
    <w:rsid w:val="55515659"/>
    <w:rsid w:val="555E1B24"/>
    <w:rsid w:val="55620D75"/>
    <w:rsid w:val="556A671B"/>
    <w:rsid w:val="556F1F83"/>
    <w:rsid w:val="5572737D"/>
    <w:rsid w:val="5587107B"/>
    <w:rsid w:val="558772CD"/>
    <w:rsid w:val="55894DF3"/>
    <w:rsid w:val="55915A56"/>
    <w:rsid w:val="559A7000"/>
    <w:rsid w:val="55A21A11"/>
    <w:rsid w:val="55A559A5"/>
    <w:rsid w:val="55DE7231"/>
    <w:rsid w:val="55E24503"/>
    <w:rsid w:val="55EB785C"/>
    <w:rsid w:val="55F04E72"/>
    <w:rsid w:val="55F935FB"/>
    <w:rsid w:val="56301712"/>
    <w:rsid w:val="56466840"/>
    <w:rsid w:val="565371AF"/>
    <w:rsid w:val="56644F18"/>
    <w:rsid w:val="56674A08"/>
    <w:rsid w:val="56861332"/>
    <w:rsid w:val="568B06F7"/>
    <w:rsid w:val="56BA722E"/>
    <w:rsid w:val="57034731"/>
    <w:rsid w:val="572B1EDA"/>
    <w:rsid w:val="57376AD1"/>
    <w:rsid w:val="5741351C"/>
    <w:rsid w:val="57430FD1"/>
    <w:rsid w:val="57541431"/>
    <w:rsid w:val="575907F5"/>
    <w:rsid w:val="576A2A02"/>
    <w:rsid w:val="5789732C"/>
    <w:rsid w:val="578C0BCA"/>
    <w:rsid w:val="57B123DF"/>
    <w:rsid w:val="57D30256"/>
    <w:rsid w:val="57EA58F1"/>
    <w:rsid w:val="58093FC9"/>
    <w:rsid w:val="581B3CFC"/>
    <w:rsid w:val="58417C07"/>
    <w:rsid w:val="58586CFE"/>
    <w:rsid w:val="58595849"/>
    <w:rsid w:val="589E6E07"/>
    <w:rsid w:val="58AC2BA6"/>
    <w:rsid w:val="58B54151"/>
    <w:rsid w:val="58D345D7"/>
    <w:rsid w:val="58E30CBE"/>
    <w:rsid w:val="58F5279F"/>
    <w:rsid w:val="591075D9"/>
    <w:rsid w:val="59215342"/>
    <w:rsid w:val="595A2602"/>
    <w:rsid w:val="595E6596"/>
    <w:rsid w:val="597C07CB"/>
    <w:rsid w:val="5996188C"/>
    <w:rsid w:val="59A275AD"/>
    <w:rsid w:val="59A541C5"/>
    <w:rsid w:val="59AD7291"/>
    <w:rsid w:val="59B937CD"/>
    <w:rsid w:val="59CD1026"/>
    <w:rsid w:val="59D14FBA"/>
    <w:rsid w:val="5A0C7DA1"/>
    <w:rsid w:val="5A1E1882"/>
    <w:rsid w:val="5A2C21F1"/>
    <w:rsid w:val="5A307F33"/>
    <w:rsid w:val="5A4F7C8D"/>
    <w:rsid w:val="5A7723FC"/>
    <w:rsid w:val="5A782CCD"/>
    <w:rsid w:val="5A785436"/>
    <w:rsid w:val="5AB75F5E"/>
    <w:rsid w:val="5ADA1C4D"/>
    <w:rsid w:val="5AE14D89"/>
    <w:rsid w:val="5AEB3E5A"/>
    <w:rsid w:val="5AF56A87"/>
    <w:rsid w:val="5AFA5E4B"/>
    <w:rsid w:val="5B136F0D"/>
    <w:rsid w:val="5B1E5FDD"/>
    <w:rsid w:val="5B2353A2"/>
    <w:rsid w:val="5B2B4256"/>
    <w:rsid w:val="5B2D6220"/>
    <w:rsid w:val="5B3A093D"/>
    <w:rsid w:val="5B5F2152"/>
    <w:rsid w:val="5B61236E"/>
    <w:rsid w:val="5B6634E0"/>
    <w:rsid w:val="5B767BC7"/>
    <w:rsid w:val="5BB406F0"/>
    <w:rsid w:val="5BC22E0D"/>
    <w:rsid w:val="5BC87CF7"/>
    <w:rsid w:val="5BD62414"/>
    <w:rsid w:val="5BE70AC5"/>
    <w:rsid w:val="5BE72873"/>
    <w:rsid w:val="5BF22FC6"/>
    <w:rsid w:val="5C8207EE"/>
    <w:rsid w:val="5CA93FCD"/>
    <w:rsid w:val="5CD821BC"/>
    <w:rsid w:val="5CF50FC0"/>
    <w:rsid w:val="5D086F45"/>
    <w:rsid w:val="5D211DB5"/>
    <w:rsid w:val="5D4D2BAA"/>
    <w:rsid w:val="5D573A29"/>
    <w:rsid w:val="5D7E7207"/>
    <w:rsid w:val="5D9562FF"/>
    <w:rsid w:val="5D9C768D"/>
    <w:rsid w:val="5DA327CA"/>
    <w:rsid w:val="5E0771FD"/>
    <w:rsid w:val="5E2E2006"/>
    <w:rsid w:val="5E2F405E"/>
    <w:rsid w:val="5E345B18"/>
    <w:rsid w:val="5E4C10B3"/>
    <w:rsid w:val="5E4D0988"/>
    <w:rsid w:val="5E785A05"/>
    <w:rsid w:val="5E7B54F5"/>
    <w:rsid w:val="5E8720EC"/>
    <w:rsid w:val="5E8E5228"/>
    <w:rsid w:val="5EB6477F"/>
    <w:rsid w:val="5EBB3B43"/>
    <w:rsid w:val="5ECA27EC"/>
    <w:rsid w:val="5EF07C91"/>
    <w:rsid w:val="5EFF1C82"/>
    <w:rsid w:val="5F0415E0"/>
    <w:rsid w:val="5F1119B5"/>
    <w:rsid w:val="5F1A2F60"/>
    <w:rsid w:val="5F1A6ABC"/>
    <w:rsid w:val="5F4104EC"/>
    <w:rsid w:val="5F5C0E82"/>
    <w:rsid w:val="5FA6034F"/>
    <w:rsid w:val="5FAA42E4"/>
    <w:rsid w:val="5FD93F3B"/>
    <w:rsid w:val="5FDE5D3B"/>
    <w:rsid w:val="5FEA0B84"/>
    <w:rsid w:val="5FEB1832"/>
    <w:rsid w:val="602C4CF9"/>
    <w:rsid w:val="60430294"/>
    <w:rsid w:val="604C539B"/>
    <w:rsid w:val="6051650D"/>
    <w:rsid w:val="605F4B24"/>
    <w:rsid w:val="606A3A73"/>
    <w:rsid w:val="6071095D"/>
    <w:rsid w:val="608763D3"/>
    <w:rsid w:val="6098413C"/>
    <w:rsid w:val="60A70B9F"/>
    <w:rsid w:val="60B116A2"/>
    <w:rsid w:val="60C82547"/>
    <w:rsid w:val="60CA4511"/>
    <w:rsid w:val="60D46B48"/>
    <w:rsid w:val="60F03F78"/>
    <w:rsid w:val="60F12BA5"/>
    <w:rsid w:val="614B11AE"/>
    <w:rsid w:val="616B35FF"/>
    <w:rsid w:val="617C17FC"/>
    <w:rsid w:val="61860438"/>
    <w:rsid w:val="61882403"/>
    <w:rsid w:val="61E433B1"/>
    <w:rsid w:val="61ED6709"/>
    <w:rsid w:val="61F555BE"/>
    <w:rsid w:val="620677CB"/>
    <w:rsid w:val="620F6680"/>
    <w:rsid w:val="6238389F"/>
    <w:rsid w:val="623A1223"/>
    <w:rsid w:val="624125B1"/>
    <w:rsid w:val="625E13B5"/>
    <w:rsid w:val="626A5FAC"/>
    <w:rsid w:val="62922E0D"/>
    <w:rsid w:val="62CF2E5E"/>
    <w:rsid w:val="62D81168"/>
    <w:rsid w:val="62DB0C58"/>
    <w:rsid w:val="62E7022D"/>
    <w:rsid w:val="62EA49F7"/>
    <w:rsid w:val="62FB09B2"/>
    <w:rsid w:val="62FE04A2"/>
    <w:rsid w:val="631A52DC"/>
    <w:rsid w:val="631D4DCC"/>
    <w:rsid w:val="63251ED3"/>
    <w:rsid w:val="635602DE"/>
    <w:rsid w:val="637F3391"/>
    <w:rsid w:val="639D7CBB"/>
    <w:rsid w:val="63AD5DD7"/>
    <w:rsid w:val="63AE1EC8"/>
    <w:rsid w:val="63BD3EBA"/>
    <w:rsid w:val="63D00091"/>
    <w:rsid w:val="63D74F7B"/>
    <w:rsid w:val="640B2E77"/>
    <w:rsid w:val="640F0BB9"/>
    <w:rsid w:val="641937E6"/>
    <w:rsid w:val="64754794"/>
    <w:rsid w:val="64A84B6A"/>
    <w:rsid w:val="64D771FD"/>
    <w:rsid w:val="64DE2339"/>
    <w:rsid w:val="65031DA0"/>
    <w:rsid w:val="65051FBC"/>
    <w:rsid w:val="651915C4"/>
    <w:rsid w:val="65273CE0"/>
    <w:rsid w:val="654523B9"/>
    <w:rsid w:val="65493C57"/>
    <w:rsid w:val="65A76BCF"/>
    <w:rsid w:val="65CB4FB4"/>
    <w:rsid w:val="65F91B21"/>
    <w:rsid w:val="66061B48"/>
    <w:rsid w:val="6623094C"/>
    <w:rsid w:val="664D7777"/>
    <w:rsid w:val="66630D48"/>
    <w:rsid w:val="667B2536"/>
    <w:rsid w:val="66A6332B"/>
    <w:rsid w:val="66D93700"/>
    <w:rsid w:val="66F75934"/>
    <w:rsid w:val="67010561"/>
    <w:rsid w:val="6716400D"/>
    <w:rsid w:val="67513297"/>
    <w:rsid w:val="67535261"/>
    <w:rsid w:val="67760F4F"/>
    <w:rsid w:val="67B51A77"/>
    <w:rsid w:val="67E92EA9"/>
    <w:rsid w:val="67F51E74"/>
    <w:rsid w:val="68147E5E"/>
    <w:rsid w:val="684B5F38"/>
    <w:rsid w:val="68B41D2F"/>
    <w:rsid w:val="68B735CD"/>
    <w:rsid w:val="68D4417F"/>
    <w:rsid w:val="694035C3"/>
    <w:rsid w:val="69453654"/>
    <w:rsid w:val="695A0B28"/>
    <w:rsid w:val="697274F4"/>
    <w:rsid w:val="69765236"/>
    <w:rsid w:val="697E40EB"/>
    <w:rsid w:val="699F653B"/>
    <w:rsid w:val="69A753F0"/>
    <w:rsid w:val="69AB1384"/>
    <w:rsid w:val="69CB37D4"/>
    <w:rsid w:val="69CC30A8"/>
    <w:rsid w:val="69DB32EB"/>
    <w:rsid w:val="69E228CC"/>
    <w:rsid w:val="69F83E9D"/>
    <w:rsid w:val="6A3F5A3C"/>
    <w:rsid w:val="6A4E61B3"/>
    <w:rsid w:val="6A701C86"/>
    <w:rsid w:val="6AA47B81"/>
    <w:rsid w:val="6ABC136F"/>
    <w:rsid w:val="6ABF6769"/>
    <w:rsid w:val="6ACB7804"/>
    <w:rsid w:val="6AD42215"/>
    <w:rsid w:val="6AE82164"/>
    <w:rsid w:val="6AEF26F5"/>
    <w:rsid w:val="6B182A49"/>
    <w:rsid w:val="6B6F4633"/>
    <w:rsid w:val="6B7B4D86"/>
    <w:rsid w:val="6BBD4800"/>
    <w:rsid w:val="6BD9385B"/>
    <w:rsid w:val="6C0F54CE"/>
    <w:rsid w:val="6C11464E"/>
    <w:rsid w:val="6C1B3E73"/>
    <w:rsid w:val="6C2E1DF8"/>
    <w:rsid w:val="6C472EBA"/>
    <w:rsid w:val="6C4A1D7C"/>
    <w:rsid w:val="6C4E4249"/>
    <w:rsid w:val="6C621AA2"/>
    <w:rsid w:val="6C731F01"/>
    <w:rsid w:val="6C772FEA"/>
    <w:rsid w:val="6C884B18"/>
    <w:rsid w:val="6CE4695B"/>
    <w:rsid w:val="6CEF77DA"/>
    <w:rsid w:val="6D1014FE"/>
    <w:rsid w:val="6D1A412B"/>
    <w:rsid w:val="6D2B3E12"/>
    <w:rsid w:val="6D30394E"/>
    <w:rsid w:val="6D3671B7"/>
    <w:rsid w:val="6D3C0545"/>
    <w:rsid w:val="6D464F20"/>
    <w:rsid w:val="6D4D4500"/>
    <w:rsid w:val="6D560EAF"/>
    <w:rsid w:val="6D7C6B93"/>
    <w:rsid w:val="6D8617C0"/>
    <w:rsid w:val="6DAF0D17"/>
    <w:rsid w:val="6DBE53FE"/>
    <w:rsid w:val="6DDB7D5E"/>
    <w:rsid w:val="6E0F17B6"/>
    <w:rsid w:val="6E201C15"/>
    <w:rsid w:val="6E396833"/>
    <w:rsid w:val="6E443B55"/>
    <w:rsid w:val="6E4753F3"/>
    <w:rsid w:val="6E5A0C83"/>
    <w:rsid w:val="6E8E4DD0"/>
    <w:rsid w:val="6E9313EA"/>
    <w:rsid w:val="6EB83BFB"/>
    <w:rsid w:val="6EE40E94"/>
    <w:rsid w:val="6EE92007"/>
    <w:rsid w:val="6F086931"/>
    <w:rsid w:val="6F40256E"/>
    <w:rsid w:val="6F810491"/>
    <w:rsid w:val="6F846AC3"/>
    <w:rsid w:val="6F9E7295"/>
    <w:rsid w:val="6FAA79E8"/>
    <w:rsid w:val="6FAB550E"/>
    <w:rsid w:val="6FE50A20"/>
    <w:rsid w:val="701A2DBF"/>
    <w:rsid w:val="70514307"/>
    <w:rsid w:val="705D4A5A"/>
    <w:rsid w:val="706F478E"/>
    <w:rsid w:val="70871AD7"/>
    <w:rsid w:val="708E730A"/>
    <w:rsid w:val="709366CE"/>
    <w:rsid w:val="709D579F"/>
    <w:rsid w:val="70A703CB"/>
    <w:rsid w:val="70C745CA"/>
    <w:rsid w:val="712B2DAA"/>
    <w:rsid w:val="71942125"/>
    <w:rsid w:val="71A863FB"/>
    <w:rsid w:val="71D64AC4"/>
    <w:rsid w:val="71FE401B"/>
    <w:rsid w:val="72084E9A"/>
    <w:rsid w:val="721455EC"/>
    <w:rsid w:val="723914F7"/>
    <w:rsid w:val="7251239D"/>
    <w:rsid w:val="725D6F93"/>
    <w:rsid w:val="726227FC"/>
    <w:rsid w:val="726F4F19"/>
    <w:rsid w:val="729130E1"/>
    <w:rsid w:val="72A252EE"/>
    <w:rsid w:val="72CC5EC7"/>
    <w:rsid w:val="72E63C33"/>
    <w:rsid w:val="72EE0533"/>
    <w:rsid w:val="72F378F8"/>
    <w:rsid w:val="73171838"/>
    <w:rsid w:val="733C129F"/>
    <w:rsid w:val="736507F6"/>
    <w:rsid w:val="73970283"/>
    <w:rsid w:val="73A17354"/>
    <w:rsid w:val="73AF7CC3"/>
    <w:rsid w:val="741C69DA"/>
    <w:rsid w:val="74277859"/>
    <w:rsid w:val="74367A9C"/>
    <w:rsid w:val="743957DE"/>
    <w:rsid w:val="74406B6D"/>
    <w:rsid w:val="746C7962"/>
    <w:rsid w:val="746F2FAE"/>
    <w:rsid w:val="74DB0643"/>
    <w:rsid w:val="750A4653"/>
    <w:rsid w:val="75220020"/>
    <w:rsid w:val="75575F1C"/>
    <w:rsid w:val="756D573F"/>
    <w:rsid w:val="75792336"/>
    <w:rsid w:val="757A60AE"/>
    <w:rsid w:val="757A7E5C"/>
    <w:rsid w:val="7590142E"/>
    <w:rsid w:val="75A629FF"/>
    <w:rsid w:val="75B23A9A"/>
    <w:rsid w:val="75CF01A8"/>
    <w:rsid w:val="75E874BC"/>
    <w:rsid w:val="75F335A9"/>
    <w:rsid w:val="76366479"/>
    <w:rsid w:val="76571F4C"/>
    <w:rsid w:val="76685F07"/>
    <w:rsid w:val="76700617"/>
    <w:rsid w:val="76716096"/>
    <w:rsid w:val="76A72ED3"/>
    <w:rsid w:val="76B455F0"/>
    <w:rsid w:val="77065E4C"/>
    <w:rsid w:val="770C2D36"/>
    <w:rsid w:val="77161E07"/>
    <w:rsid w:val="77286C33"/>
    <w:rsid w:val="7763329E"/>
    <w:rsid w:val="77764653"/>
    <w:rsid w:val="777C7EBC"/>
    <w:rsid w:val="7785787E"/>
    <w:rsid w:val="779276DF"/>
    <w:rsid w:val="77980A6E"/>
    <w:rsid w:val="77BD2282"/>
    <w:rsid w:val="77D47CF8"/>
    <w:rsid w:val="77D575CC"/>
    <w:rsid w:val="77E15F71"/>
    <w:rsid w:val="78014865"/>
    <w:rsid w:val="78063C29"/>
    <w:rsid w:val="78484242"/>
    <w:rsid w:val="78570929"/>
    <w:rsid w:val="785B5D23"/>
    <w:rsid w:val="785E3A65"/>
    <w:rsid w:val="7871169C"/>
    <w:rsid w:val="78760DAF"/>
    <w:rsid w:val="78886D34"/>
    <w:rsid w:val="78964FAD"/>
    <w:rsid w:val="78BB0EB8"/>
    <w:rsid w:val="78CF04BF"/>
    <w:rsid w:val="78D45AD6"/>
    <w:rsid w:val="78EA70A7"/>
    <w:rsid w:val="78EE6B97"/>
    <w:rsid w:val="79030169"/>
    <w:rsid w:val="790C34C1"/>
    <w:rsid w:val="7912390B"/>
    <w:rsid w:val="793E2F04"/>
    <w:rsid w:val="794E7636"/>
    <w:rsid w:val="796763D4"/>
    <w:rsid w:val="79A25BD4"/>
    <w:rsid w:val="79E1494E"/>
    <w:rsid w:val="79E87A8A"/>
    <w:rsid w:val="79FF4DD4"/>
    <w:rsid w:val="7A1A1C0E"/>
    <w:rsid w:val="7AA634A2"/>
    <w:rsid w:val="7AC5601E"/>
    <w:rsid w:val="7AEA15E0"/>
    <w:rsid w:val="7B2745E3"/>
    <w:rsid w:val="7B5D1DB2"/>
    <w:rsid w:val="7B690757"/>
    <w:rsid w:val="7B6E2F9B"/>
    <w:rsid w:val="7B821819"/>
    <w:rsid w:val="7B8732D3"/>
    <w:rsid w:val="7BC63DFB"/>
    <w:rsid w:val="7BF5648F"/>
    <w:rsid w:val="7C02295A"/>
    <w:rsid w:val="7C163A3E"/>
    <w:rsid w:val="7C1F350C"/>
    <w:rsid w:val="7C482A62"/>
    <w:rsid w:val="7C6A0C2B"/>
    <w:rsid w:val="7C75137E"/>
    <w:rsid w:val="7C7A6994"/>
    <w:rsid w:val="7CAD0B17"/>
    <w:rsid w:val="7CBB1486"/>
    <w:rsid w:val="7CFB7AD5"/>
    <w:rsid w:val="7D07647A"/>
    <w:rsid w:val="7D2708CA"/>
    <w:rsid w:val="7D8E26F7"/>
    <w:rsid w:val="7D937D0D"/>
    <w:rsid w:val="7DB67EA0"/>
    <w:rsid w:val="7DC51A41"/>
    <w:rsid w:val="7DF369FE"/>
    <w:rsid w:val="7E096221"/>
    <w:rsid w:val="7E132BFC"/>
    <w:rsid w:val="7E2E5C88"/>
    <w:rsid w:val="7E317FCB"/>
    <w:rsid w:val="7E3A63DB"/>
    <w:rsid w:val="7E5576B9"/>
    <w:rsid w:val="7E6E42D6"/>
    <w:rsid w:val="7E867872"/>
    <w:rsid w:val="7EBE0DBA"/>
    <w:rsid w:val="7EDE320A"/>
    <w:rsid w:val="7F0A2251"/>
    <w:rsid w:val="7F3B68AE"/>
    <w:rsid w:val="7F6776A3"/>
    <w:rsid w:val="7F6E0A32"/>
    <w:rsid w:val="7F703639"/>
    <w:rsid w:val="7FC56178"/>
    <w:rsid w:val="7FD64829"/>
    <w:rsid w:val="7FE17456"/>
    <w:rsid w:val="7FE40CF4"/>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560" w:lineRule="exact"/>
      <w:ind w:firstLine="420" w:firstLineChars="200"/>
    </w:pPr>
    <w:rPr>
      <w:rFonts w:ascii="Times New Roman" w:hAnsi="Times New Roman" w:cs="Times New Roman"/>
      <w:sz w:val="32"/>
    </w:rPr>
  </w:style>
  <w:style w:type="paragraph" w:styleId="4">
    <w:name w:val="Body Text"/>
    <w:basedOn w:val="1"/>
    <w:qFormat/>
    <w:uiPriority w:val="0"/>
    <w:rPr>
      <w:rFonts w:ascii="仿宋" w:hAnsi="仿宋" w:eastAsia="仿宋" w:cs="仿宋"/>
      <w:sz w:val="34"/>
      <w:szCs w:val="34"/>
      <w:lang w:val="en-US" w:eastAsia="en-US" w:bidi="ar-SA"/>
    </w:rPr>
  </w:style>
  <w:style w:type="paragraph" w:styleId="5">
    <w:name w:val="Plain Text"/>
    <w:basedOn w:val="1"/>
    <w:autoRedefine/>
    <w:qFormat/>
    <w:uiPriority w:val="99"/>
    <w:rPr>
      <w:rFonts w:ascii="宋体" w:hAnsi="Times New Roman" w:eastAsia="宋体" w:cs="宋体"/>
      <w:szCs w:val="21"/>
    </w:rPr>
  </w:style>
  <w:style w:type="paragraph" w:styleId="6">
    <w:name w:val="Body Text Indent 2"/>
    <w:basedOn w:val="1"/>
    <w:next w:val="1"/>
    <w:autoRedefine/>
    <w:qFormat/>
    <w:uiPriority w:val="0"/>
    <w:pPr>
      <w:spacing w:before="100" w:beforeAutospacing="1" w:after="100" w:afterAutospacing="1" w:line="480" w:lineRule="auto"/>
      <w:ind w:leftChars="200"/>
    </w:pPr>
  </w:style>
  <w:style w:type="paragraph" w:styleId="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szCs w:val="24"/>
      <w:lang w:val="en-US" w:eastAsia="zh-CN" w:bidi="ar"/>
    </w:rPr>
  </w:style>
  <w:style w:type="character" w:styleId="10">
    <w:name w:val="Hyperlink"/>
    <w:basedOn w:val="9"/>
    <w:autoRedefine/>
    <w:qFormat/>
    <w:uiPriority w:val="0"/>
    <w:rPr>
      <w:color w:val="0078D5"/>
      <w:u w:val="none"/>
    </w:rPr>
  </w:style>
  <w:style w:type="paragraph" w:customStyle="1" w:styleId="11">
    <w:name w:val="Index6"/>
    <w:basedOn w:val="1"/>
    <w:next w:val="1"/>
    <w:autoRedefine/>
    <w:qFormat/>
    <w:uiPriority w:val="0"/>
    <w:pPr>
      <w:snapToGrid w:val="0"/>
      <w:spacing w:line="560" w:lineRule="exact"/>
      <w:jc w:val="both"/>
      <w:textAlignment w:val="baseline"/>
    </w:pPr>
    <w:rPr>
      <w:rFonts w:ascii="方正小标宋简体" w:hAnsi="方正大标宋简体" w:eastAsia="方正小标宋简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6637</Words>
  <Characters>8570</Characters>
  <Lines>0</Lines>
  <Paragraphs>0</Paragraphs>
  <TotalTime>43</TotalTime>
  <ScaleCrop>false</ScaleCrop>
  <LinksUpToDate>false</LinksUpToDate>
  <CharactersWithSpaces>8663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2024-02-19T00:50:00Z</dcterms:created>
  <dc:creator>别致悲伤</dc:creator>
  <cp:lastModifiedBy>酱紫肘味雀食蟀</cp:lastModifiedBy>
  <cp:lastPrinted>2025-03-10T02:56:00Z</cp:lastPrinted>
  <dcterms:modified xsi:type="dcterms:W3CDTF">2026-01-23T02:27:13Z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6CEFFF44333E41F8971A38AC92F22124_11</vt:lpwstr>
  </property>
  <property fmtid="{D5CDD505-2E9C-101B-9397-08002B2CF9AE}" pid="4" name="KSOTemplateDocerSaveRecord">
    <vt:lpwstr>eyJoZGlkIjoiZGM1MGU0Zjk5YTgxZDUwODk0NTMxNjZmZTJhMjliMmEiLCJ1c2VySWQiOiIzNDg3MDM2MzgifQ==</vt:lpwstr>
  </property>
</Properties>
</file>