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Toc22174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祁连山国家公园自然博物馆（科普教育基地）布展项目（第三标段）雕塑制作与安装招标公告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资审方式：资格后审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b w:val="0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交易编号：GJW-GSHS-2024001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甘肃华胜工程咨询有限公司张掖分公司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肃南裕固族自治县林业和草原局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的委托，对其委托的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祁连山国家公园自然博物馆（科普教育基地）布展项目（第三标段）雕塑制作与安装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以公开招标的形式进行招标，欢迎符合资格条件的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前来参加。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1、项目概况：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1.1标段划分及特征描述：本次招标设为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个标段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，祁连山国家公园自然博物馆（科普教育基地）布展项目（第三标段）雕塑制作与安装，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（具体内容详见第五章技术参数）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工期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合同签订后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20天内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1.3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招标控制价：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2150000.00元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1.4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资金来源：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多渠道筹措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  <w:bookmarkStart w:id="28" w:name="_GoBack"/>
      <w:bookmarkEnd w:id="2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建设地址：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肃南县城西侧边家河湾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工程质量要求符合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合格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2、对投标申请人的要求：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投标人须是在中华人民共和国境内合法注册的公司，且具有独立承担民事责任的能力,</w:t>
      </w:r>
      <w:r>
        <w:rPr>
          <w:rFonts w:hint="eastAsia" w:ascii="仿宋" w:hAnsi="仿宋" w:eastAsia="仿宋" w:cs="仿宋"/>
          <w:color w:val="auto"/>
          <w:kern w:val="0"/>
          <w:sz w:val="24"/>
          <w:szCs w:val="21"/>
          <w:highlight w:val="none"/>
          <w:lang w:eastAsia="zh-CN"/>
        </w:rPr>
        <w:t>并在人员、设备、资金等方面具有符合本项目要求的服务能力及售后需求。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1"/>
          <w:highlight w:val="none"/>
          <w:lang w:eastAsia="zh-CN"/>
        </w:rPr>
        <w:t>2.2投标人须提供法人代表授权委托书（原件）及法人代表身份证（正反复印件加盖公章）、被委托人身份证（正反复印件加盖公章）</w:t>
      </w:r>
      <w:r>
        <w:rPr>
          <w:rFonts w:hint="eastAsia" w:ascii="仿宋" w:hAnsi="仿宋" w:eastAsia="仿宋" w:cs="仿宋"/>
          <w:color w:val="auto"/>
          <w:kern w:val="0"/>
          <w:sz w:val="24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1"/>
          <w:highlight w:val="none"/>
        </w:rPr>
        <w:t>2.3</w:t>
      </w:r>
      <w:r>
        <w:rPr>
          <w:rFonts w:hint="eastAsia" w:ascii="仿宋" w:hAnsi="仿宋" w:eastAsia="仿宋" w:cs="仿宋"/>
          <w:color w:val="auto"/>
          <w:kern w:val="0"/>
          <w:sz w:val="24"/>
          <w:szCs w:val="21"/>
          <w:highlight w:val="none"/>
          <w:lang w:val="en-US" w:eastAsia="zh-CN"/>
        </w:rPr>
        <w:t xml:space="preserve">授权委托代理人应当为本项目负责人。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投标人在提交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文件时，必须同时提交《投标承诺书》，其承诺内容包括投标所提供的的所有证件及资料真实有效，如果存在造假行为，应接受主管部门及其他部门依法依规给予的处罚。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审查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，招标人、招标代理机构、评标专家委员会应当通过“信用中国”网站（http：//www.creditchina.gov.cn）或各级信用信息共享平台查询投标企业是否为失信被执行人，并采取必要方式做好失信被执行人信息查询记录和证据留存。对属于失信被执行人的投标活动依法予以限制。如采用联合体的，联合体一方属于失信被执行人的，联合体视为失信被执行人，予以限制投标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本次招标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不接受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bookmarkStart w:id="1" w:name="_Toc97287719"/>
      <w:bookmarkStart w:id="2" w:name="_Toc89333568"/>
      <w:bookmarkStart w:id="3" w:name="_Toc87890699"/>
      <w:bookmarkStart w:id="4" w:name="_Toc87889792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、招标文件的获取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5" w:name="_Toc365370849"/>
      <w:bookmarkStart w:id="6" w:name="_Toc353121636"/>
      <w:bookmarkStart w:id="7" w:name="_Toc349224371"/>
      <w:bookmarkStart w:id="8" w:name="_Toc353122286"/>
      <w:bookmarkStart w:id="9" w:name="_Toc89333570"/>
      <w:bookmarkStart w:id="10" w:name="_Toc365370851"/>
      <w:bookmarkStart w:id="11" w:name="_Toc360107269"/>
      <w:bookmarkStart w:id="12" w:name="_Toc364546179"/>
      <w:bookmarkStart w:id="13" w:name="_Toc349041128"/>
      <w:bookmarkStart w:id="14" w:name="_Toc352314229"/>
      <w:bookmarkStart w:id="15" w:name="_Toc364425788"/>
      <w:bookmarkStart w:id="16" w:name="_Toc356832575"/>
      <w:bookmarkStart w:id="17" w:name="_Toc360544724"/>
      <w:bookmarkStart w:id="18" w:name="_Toc349040936"/>
      <w:bookmarkStart w:id="19" w:name="_Toc87889794"/>
      <w:bookmarkStart w:id="20" w:name="_Toc356832728"/>
      <w:bookmarkStart w:id="21" w:name="_Toc353122118"/>
      <w:bookmarkStart w:id="22" w:name="_Toc97287721"/>
      <w:bookmarkStart w:id="23" w:name="_Toc87890701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3.1凡有意参加投标者，于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16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20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日，每日上午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，下午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甘肃华胜工程咨询有限公司张掖分公司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（张掖市财智世家C段商铺三楼）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现场报名。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3.2报名时需携带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营业执照及授权委托书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进行现场报名，否则不予受理。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24" w:name="_Toc97287720"/>
      <w:bookmarkStart w:id="25" w:name="_Toc89333569"/>
      <w:bookmarkStart w:id="26" w:name="_Toc87890700"/>
      <w:bookmarkStart w:id="27" w:name="_Toc87889793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4、投标文件的递交</w:t>
      </w:r>
      <w:bookmarkEnd w:id="5"/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4.1投标文件投递截止时间：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6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日（星期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三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分（北京时间）前。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4.2投标文件投递地点：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张掖市北街延伸段北兴家园3号综合楼2号门店3层一号开标厅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4.3开标时间：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6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5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日（星期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三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分（北京时间）；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4.4参加本次招标的投标人应将投标文件送达指定地点，逾期未送达的或者未送达指定地点的投标文件，招标人不予受理。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5、发布媒介：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本公告在甘肃经济信息网、肃南裕固族自治县人民政府网、张掖日报发布。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6、公告期限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自本公告发布之日起5个工作日。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对本次招标提出询问，请按以下方式联系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招标人：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肃南裕固族自治县林业和草原局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址：肃南裕固族自治县红湾寺镇皇城路90号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马旭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话: 0936- 6121024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招标代理机构：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甘肃华胜工程咨询有限公司张掖分公司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址：张掖市财智世家C段商铺三楼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朱自楠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19993639033</w:t>
      </w:r>
    </w:p>
    <w:sectPr>
      <w:pgSz w:w="11906" w:h="16838"/>
      <w:pgMar w:top="1191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A21B4"/>
    <w:multiLevelType w:val="singleLevel"/>
    <w:tmpl w:val="0A6A21B4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OGVhMDUyYmUzYjU4NWIzNTI2NjNjMzY1YWFjZTIifQ=="/>
  </w:docVars>
  <w:rsids>
    <w:rsidRoot w:val="444C284A"/>
    <w:rsid w:val="0C98693B"/>
    <w:rsid w:val="120947F1"/>
    <w:rsid w:val="444C284A"/>
    <w:rsid w:val="5D19389E"/>
    <w:rsid w:val="5D8C4E1B"/>
    <w:rsid w:val="5F32215D"/>
    <w:rsid w:val="613C34F7"/>
    <w:rsid w:val="6BD3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2024-05-14T01:04:00Z</dcterms:created>
  <dc:creator>€정지점。</dc:creator>
  <cp:lastModifiedBy>€정지점。</cp:lastModifiedBy>
  <dcterms:modified xsi:type="dcterms:W3CDTF">2024-05-14T08:56:06Z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AF7377BF64BC4FABB2B92B6057798423_11</vt:lpwstr>
  </property>
</Properties>
</file>