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063A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2024</w:t>
      </w:r>
      <w:r>
        <w:rPr>
          <w:rFonts w:hint="eastAsia" w:ascii="方正小标宋简体" w:eastAsia="方正小标宋简体"/>
          <w:sz w:val="44"/>
          <w:szCs w:val="44"/>
        </w:rPr>
        <w:t>年转移支付执行情况说明</w:t>
      </w:r>
    </w:p>
    <w:p w14:paraId="5C16113C">
      <w:pPr>
        <w:pStyle w:val="1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" w:eastAsia="仿宋_GB2312"/>
          <w:color w:val="auto"/>
          <w:sz w:val="32"/>
          <w:szCs w:val="32"/>
        </w:rPr>
      </w:pPr>
    </w:p>
    <w:p w14:paraId="791DC861">
      <w:pPr>
        <w:pStyle w:val="1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2024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年，</w:t>
      </w:r>
      <w:r>
        <w:rPr>
          <w:rFonts w:hint="eastAsia" w:ascii="仿宋_GB2312" w:eastAsia="仿宋_GB2312"/>
          <w:color w:val="auto"/>
          <w:sz w:val="32"/>
          <w:szCs w:val="32"/>
        </w:rPr>
        <w:t>共到位上级补助资金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159669</w:t>
      </w:r>
      <w:r>
        <w:rPr>
          <w:rFonts w:hint="eastAsia" w:ascii="仿宋_GB2312" w:eastAsia="仿宋_GB2312"/>
          <w:color w:val="auto"/>
          <w:sz w:val="32"/>
          <w:szCs w:val="32"/>
        </w:rPr>
        <w:t>万元。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其中：返还性收入1207万元；一般性转移支付补助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140166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万元；专项转移支付收入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18296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万元。政府性基金补助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2999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万元。具体明细如下：　　</w:t>
      </w:r>
    </w:p>
    <w:p w14:paraId="5415E7F7">
      <w:pPr>
        <w:pStyle w:val="1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返还性收入1207万元，其中：增值税和消费税税收返还收入333万元，所得税基数返还收入247万元，成品油价格改革税收返还收入10万元，增值税“五五分享”税收返还收入617万元。</w:t>
      </w:r>
    </w:p>
    <w:p w14:paraId="2A9ABA72">
      <w:pPr>
        <w:pStyle w:val="1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一般性转移支付收入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140166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 w:bidi="ar-SA"/>
        </w:rPr>
        <w:t>均衡性转移支付收入20070万元，县级基本财力保障机制奖补资金收入8226万元，结算补助收入3863万元，企业事业单位划转补助收入587万元，重点生态功能区转移支付收入15059万元，固定数额补助收入12710万元，民族地区转移支付收入20321万元，巩固脱贫攻坚成果衔接乡村振兴转移支付收入6906万元，一般公共服务共同财政事权转移支付收入10万元，公共安全共同财政事权转移支付收入465万元，教育共同财政事权转移支付收入3478万元，科学技术共同财政事权转移支付收入145万元，文化旅游体育与传媒共同财政事权转移性支付收入1199万元，社会保障和就业共同财政事权转移支付收入4319万元，医疗卫生共同财政事权转移支付收入1042万元，节能环保共同财政事权转移性支付收入122万元，农林水共同财政事权转移支付收入36340万元，交通运输共同财政事权转移支付收入4460万元，资源勘探工业信息等共同财政事权转移支付收入30万元，住房保障共同财政事权转移支付收入90万元，灾害防治及应急处理共同财政事权转移支付收入463万元，其他一般性转移支付收入261万元。</w:t>
      </w:r>
    </w:p>
    <w:p w14:paraId="18A5CB50">
      <w:pPr>
        <w:pStyle w:val="10"/>
        <w:spacing w:before="0" w:beforeAutospacing="0" w:after="0" w:afterAutospacing="0" w:line="240" w:lineRule="auto"/>
        <w:ind w:firstLine="640" w:firstLineChars="200"/>
        <w:jc w:val="both"/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 w:bidi="ar-SA"/>
        </w:rPr>
        <w:t>专项转移支付收入18296万元，其中：一般公共服务394万元，公共安全1万元，文化旅游体育与传媒100万元，社会保障和就业12万元，卫生健康235万元，节能环保9688万元，城乡社区60万元，农林水4198万元，交通运输1万</w:t>
      </w:r>
      <w:r>
        <w:rPr>
          <w:rFonts w:hint="eastAsia" w:ascii="仿宋_GB2312" w:hAnsi="仿宋" w:eastAsia="仿宋_GB2312" w:cs="宋体"/>
          <w:color w:val="auto"/>
          <w:spacing w:val="-6"/>
          <w:kern w:val="0"/>
          <w:sz w:val="32"/>
          <w:szCs w:val="32"/>
          <w:lang w:val="en-US" w:eastAsia="zh-CN" w:bidi="ar-SA"/>
        </w:rPr>
        <w:t>元，资源勘探信息等1257万元，商业服务业等90万元，自然资源海洋气象等1163万元，灾害防治及应急管理1097万元。</w:t>
      </w:r>
    </w:p>
    <w:p w14:paraId="6C2226CA">
      <w:pPr>
        <w:pStyle w:val="2"/>
        <w:snapToGrid w:val="0"/>
        <w:spacing w:line="560" w:lineRule="exact"/>
        <w:ind w:firstLine="64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决算执行情况：返还性收入、县级基本财力保障机制奖补资金收入、均衡性转移支付补助收入、固定数额转移支付等县级统筹安排使用</w:t>
      </w:r>
      <w:r>
        <w:rPr>
          <w:rFonts w:hint="eastAsia" w:ascii="仿宋_GB2312" w:hAnsi="仿宋" w:eastAsia="仿宋_GB2312"/>
          <w:kern w:val="0"/>
          <w:sz w:val="32"/>
          <w:szCs w:val="32"/>
        </w:rPr>
        <w:t>，主要安排于“保工资、保运转、保民生”支出等。</w:t>
      </w:r>
      <w:r>
        <w:rPr>
          <w:rFonts w:hint="eastAsia" w:ascii="仿宋_GB2312" w:hAnsi="Arial" w:eastAsia="仿宋_GB2312" w:cs="Arial"/>
          <w:sz w:val="32"/>
          <w:szCs w:val="32"/>
        </w:rPr>
        <w:t>专项转移支付收入主要根据上级下达专项用途安排支出，其中：</w:t>
      </w:r>
      <w:r>
        <w:rPr>
          <w:rFonts w:hint="eastAsia" w:ascii="仿宋_GB2312" w:hAnsi="仿宋" w:eastAsia="仿宋_GB2312"/>
          <w:kern w:val="0"/>
          <w:sz w:val="32"/>
          <w:szCs w:val="32"/>
        </w:rPr>
        <w:t>重点生态功能区转移支付全部用于生态环境保护和改善民生。</w:t>
      </w:r>
    </w:p>
    <w:p w14:paraId="113E576D">
      <w:pPr>
        <w:spacing w:line="560" w:lineRule="exact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JkNGYwMzE1M2I4YzEyY2EyNzE4NjhiMTI0MDIzYzEifQ=="/>
  </w:docVars>
  <w:rsids>
    <w:rsidRoot w:val="00CB006E"/>
    <w:rsid w:val="00047704"/>
    <w:rsid w:val="000479B7"/>
    <w:rsid w:val="001B1C76"/>
    <w:rsid w:val="00285521"/>
    <w:rsid w:val="00473E69"/>
    <w:rsid w:val="004B3AFE"/>
    <w:rsid w:val="0065714C"/>
    <w:rsid w:val="0077190E"/>
    <w:rsid w:val="007E08A4"/>
    <w:rsid w:val="00A653C2"/>
    <w:rsid w:val="00CB006E"/>
    <w:rsid w:val="00D04389"/>
    <w:rsid w:val="00E00D3B"/>
    <w:rsid w:val="00F4716E"/>
    <w:rsid w:val="021050AA"/>
    <w:rsid w:val="0AF836F2"/>
    <w:rsid w:val="13674D7C"/>
    <w:rsid w:val="23C27626"/>
    <w:rsid w:val="26DF1345"/>
    <w:rsid w:val="310544C6"/>
    <w:rsid w:val="4D397CBD"/>
    <w:rsid w:val="4F183106"/>
    <w:rsid w:val="5C06012E"/>
    <w:rsid w:val="723C4FAA"/>
    <w:rsid w:val="77531442"/>
    <w:rsid w:val="7D32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0"/>
    <w:rPr>
      <w:rFonts w:ascii="宋体" w:hAnsi="Courier New" w:eastAsia="宋体" w:cs="Times New Roman"/>
      <w:szCs w:val="2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宋体" w:cs="Times New Roman"/>
      <w:szCs w:val="20"/>
    </w:rPr>
  </w:style>
  <w:style w:type="paragraph" w:customStyle="1" w:styleId="10">
    <w:name w:val="p0"/>
    <w:basedOn w:val="1"/>
    <w:qFormat/>
    <w:uiPriority w:val="0"/>
    <w:pPr>
      <w:widowControl/>
      <w:adjustRightInd w:val="0"/>
      <w:spacing w:before="100" w:beforeAutospacing="1" w:after="100" w:afterAutospacing="1" w:line="312" w:lineRule="atLeast"/>
      <w:jc w:val="left"/>
    </w:pPr>
    <w:rPr>
      <w:rFonts w:ascii="宋体" w:hAnsi="宋体" w:eastAsia="宋体" w:cs="宋体"/>
      <w:color w:val="00000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878</Words>
  <Characters>1005</Characters>
  <Lines>6</Lines>
  <Paragraphs>1</Paragraphs>
  <TotalTime>53</TotalTime>
  <ScaleCrop>false</ScaleCrop>
  <LinksUpToDate>false</LinksUpToDate>
  <CharactersWithSpaces>1007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2021-05-19T09:19:00Z</dcterms:created>
  <dc:creator>admin</dc:creator>
  <cp:lastModifiedBy>Administrator</cp:lastModifiedBy>
  <dcterms:modified xsi:type="dcterms:W3CDTF">2025-08-29T06:45:15Z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677A764911F5487C9919CE912412A0F7</vt:lpwstr>
  </property>
  <property fmtid="{D5CDD505-2E9C-101B-9397-08002B2CF9AE}" pid="4" name="KSOTemplateDocerSaveRecord">
    <vt:lpwstr>eyJoZGlkIjoiNmJkNGYwMzE1M2I4YzEyY2EyNzE4NjhiMTI0MDIzYzEifQ==</vt:lpwstr>
  </property>
</Properties>
</file>