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AC0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基本信息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2817"/>
        <w:gridCol w:w="1878"/>
        <w:gridCol w:w="2817"/>
      </w:tblGrid>
      <w:tr w14:paraId="4CA609B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9EFF05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项目类型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3559F6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本级支出项目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FF4613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二级项目名称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543468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2026年抗旱应急车辆运行经费</w:t>
            </w:r>
          </w:p>
        </w:tc>
      </w:tr>
      <w:tr w14:paraId="743EDF3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FA0EDF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52927A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2026年抗旱应急车辆运行经费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0D8032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分配方式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236DDE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1A1A6E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287A43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起始年份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F6FCD3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1E7D56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项目期限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31739F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年</w:t>
            </w:r>
          </w:p>
        </w:tc>
      </w:tr>
      <w:tr w14:paraId="1392C42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9B691C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业务管理处室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ED50CF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0007 经建股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EB552C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资金主管处室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C8586E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0007 经建股</w:t>
            </w:r>
          </w:p>
        </w:tc>
      </w:tr>
      <w:tr w14:paraId="4DF712E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C6DC0D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资金主管部门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C3A310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148 肃南裕固族自治县住房和城乡建设局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663C5C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重要程度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389D1C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 重要</w:t>
            </w:r>
          </w:p>
        </w:tc>
      </w:tr>
      <w:tr w14:paraId="38590BA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08087B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热点分类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5F1359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000 非“三保”支出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7F7B44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BE76A0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宋瑞娟</w:t>
            </w:r>
          </w:p>
        </w:tc>
      </w:tr>
      <w:tr w14:paraId="2D6AB21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E0E048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D43CE7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15209364036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EEE956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编报模板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555B5C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标准模板</w:t>
            </w:r>
          </w:p>
        </w:tc>
      </w:tr>
      <w:tr w14:paraId="45DB23E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43EECE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是否追踪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D6CA9D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7E65D1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是否资产配置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5D858D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07ECF43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A9B346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是否科研项目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AAE319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FDBF94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是否设置使用范围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4D7D5A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6E764C1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71FA7E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是否二次分配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FADBAC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15E7C9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是否基建项目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349EAD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78F01CA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535552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项目类型分类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3A2DDE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特定事项类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E6D53F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是否涉密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C8E785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0FD9C92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F3277A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项目总金额（元）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010089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56000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5E2075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其中：非财政性资金（元）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EC94D5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6646DBB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E9118F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单位名称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059618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148003 肃南裕固族自治县城市园林绿化工作站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C267D2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项目概述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F6B114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抗旱应急车辆，确保两辆抗旱应急车辆在旱情发生时能够随时出动、高效运行，保障农田、园林绿化苗木花卉、人畜饮水和生态补水需求，最大限度减轻旱灾损失，维护园林绿化和社会稳定。车辆日常做到全面检修，油料储备、司机就位，接到指令后车辆快速出动，完成任务。</w:t>
            </w:r>
          </w:p>
        </w:tc>
      </w:tr>
      <w:tr w14:paraId="47B2D44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02AA4E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政策依据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19A3AB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2023年第七次县长办公会议纪要</w:t>
            </w:r>
          </w:p>
        </w:tc>
      </w:tr>
      <w:tr w14:paraId="30EAC45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31902D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基本情况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517A0C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2026年2辆应急抗旱车辆运行经费，包括燃油费、保险费、维修及保养等其他费用。</w:t>
            </w:r>
          </w:p>
        </w:tc>
      </w:tr>
      <w:tr w14:paraId="7A3D73B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6BAC37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项目立项必要性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313FCC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2026年2辆应急抗旱车辆运行经费，包括燃油费、保险费、维修及保养。确保车辆能正常运行，并且提高利用率。</w:t>
            </w:r>
          </w:p>
        </w:tc>
      </w:tr>
      <w:tr w14:paraId="28212F4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F0792A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保障项目实施的制度措施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C1E3D8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应急抗旱车辆运行经费</w:t>
            </w:r>
          </w:p>
        </w:tc>
      </w:tr>
      <w:tr w14:paraId="760FDAC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6F5F23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项目实施计划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4847B3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2026年2辆应急抗旱车辆运行经费，包括燃油费、保险费、维修及保养。确保车辆能正常运行，并且提高利用率。</w:t>
            </w:r>
          </w:p>
        </w:tc>
      </w:tr>
      <w:tr w14:paraId="4B74CE7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6655F6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组织实施单位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2DFD76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肃南裕固族自治县城市园林绿化工作站</w:t>
            </w:r>
          </w:p>
        </w:tc>
      </w:tr>
      <w:tr w14:paraId="628F60F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4667E5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监督管理单位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018328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肃南裕固族自治县住房和城乡建设局</w:t>
            </w:r>
          </w:p>
        </w:tc>
      </w:tr>
      <w:tr w14:paraId="60A78EE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04B18E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项目实施单位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4B2046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肃南裕固族自治县城市园林绿化工作站</w:t>
            </w:r>
          </w:p>
        </w:tc>
      </w:tr>
      <w:tr w14:paraId="5B68AB4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8C8650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需要说明的其他情况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F7B860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应急抗旱车辆运行经费</w:t>
            </w:r>
          </w:p>
        </w:tc>
      </w:tr>
    </w:tbl>
    <w:p w14:paraId="622659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项目测算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0"/>
        <w:gridCol w:w="670"/>
        <w:gridCol w:w="670"/>
        <w:gridCol w:w="670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14:paraId="193A42F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58135E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5E1681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编报模板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4C330F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项目任务明细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556463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1DD0F3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支出标准分类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EA1549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计算方式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8F87B8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支出标准值（元）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7BC373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7C02CA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计量数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ECE9EE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单价（万元）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9BC186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测算数（万元）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F31A80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申报数（万元）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69B8D1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审核数（万元）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BA9C48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测算依据及说明</w:t>
            </w:r>
          </w:p>
        </w:tc>
      </w:tr>
      <w:tr w14:paraId="4D33954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C628A4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7A73B8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标准模板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556557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2026年抗旱应急车辆运行经费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2A3FDB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2026年抗旱应急车辆运行经费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446B7C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暂定标准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EFE030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定额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8DF472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56000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4C88AB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元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0207B4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901BEB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5.60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2C7E40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5.60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41AEE6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5.60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0E7B96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5.60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AE973B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2026年抗旱应急车辆运行经费</w:t>
            </w:r>
          </w:p>
        </w:tc>
      </w:tr>
    </w:tbl>
    <w:p w14:paraId="79FD4B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分年支出计划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7"/>
        <w:gridCol w:w="2347"/>
        <w:gridCol w:w="2348"/>
        <w:gridCol w:w="2348"/>
      </w:tblGrid>
      <w:tr w14:paraId="12142A9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BEAC96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33DC1B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总金额（万元）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50397E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申报数（万元）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AA6ADD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审核数（万元）</w:t>
            </w:r>
          </w:p>
        </w:tc>
      </w:tr>
      <w:tr w14:paraId="0CAD8EA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5A00F0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测算参考值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A4A6F5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5.60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E6D367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5.60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DF9D5E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5.60</w:t>
            </w:r>
          </w:p>
        </w:tc>
      </w:tr>
      <w:tr w14:paraId="7B9159E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E018C7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F0A52E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4C7C64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5.60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18C43A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5.60</w:t>
            </w:r>
          </w:p>
        </w:tc>
      </w:tr>
    </w:tbl>
    <w:p w14:paraId="4249B5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项目绩效目标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7512"/>
      </w:tblGrid>
      <w:tr w14:paraId="1787D65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734564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实施期绩效目标</w:t>
            </w:r>
          </w:p>
        </w:tc>
        <w:tc>
          <w:tcPr>
            <w:tcW w:w="4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6A9394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抗旱应急车辆，确保两辆抗旱应急车辆在旱情发生时能够随时出动、高效运行，保障农田、园林绿化苗木花卉、人畜饮水和生态补水需求，最大限度减轻旱灾损失，维护园林绿化和社会稳定。车辆日常做到全面检修，油料储备、司机就位，接到指令后车辆快速出动，完成任务。</w:t>
            </w:r>
          </w:p>
        </w:tc>
      </w:tr>
    </w:tbl>
    <w:p w14:paraId="25343B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事前绩效评估打分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9"/>
        <w:gridCol w:w="1169"/>
        <w:gridCol w:w="1169"/>
        <w:gridCol w:w="1169"/>
        <w:gridCol w:w="1169"/>
        <w:gridCol w:w="1169"/>
        <w:gridCol w:w="1169"/>
        <w:gridCol w:w="1170"/>
        <w:gridCol w:w="37"/>
      </w:tblGrid>
      <w:tr w14:paraId="4785CEC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1A7173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#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A5A62C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审核内容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8BC7F7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审核要点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49701D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权重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3ED786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单位意见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EF18B9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单位得分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555153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部门意见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4B0E38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部门得分</w:t>
            </w:r>
          </w:p>
        </w:tc>
      </w:tr>
      <w:tr w14:paraId="34AF11B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149E26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B69DA2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立项必要性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A45EF7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401348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CA960B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72B882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CC78C3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99897A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1783176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3327B8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4AF65B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政策相关性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622A68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与国家政策和规划相关;与我省行业发展规划相关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A6DA82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523C2F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AFC73F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33AAD0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63D692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 w14:paraId="49CE5C2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250FBE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CCD0C9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职能相关性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083B5E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与主管部门职能、规划及年度重点工作相关。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2F133F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1E42A1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43C901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AC4E71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860748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2960AE6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D35422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C98759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需求相关性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ACBCAB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项目具有迫切的现实需求;项目不具有替代性;项目有确定的服务对象或受益对象。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043E24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09D573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5CD2B9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A2BC27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8F5A28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64E68C9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3C019C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EEB9F7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财政投入相关性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4EDE05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项目具有公共性，属于公共财政支持范围 (此项为否决性核心指标);属于省级支出责任 (此项为否决性核心指标)。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300B4A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5F3A37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51A76A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206384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A229CE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3CE4CA4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F9E927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CAC5FC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投入经济性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95F0F0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D0AF2C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6306AB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C261E4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D8C1DD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58E704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FB7185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66BFD1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3B0406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投入产出合理性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95380B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投入产出比科学合理，符合投入最小化、产出最大化预期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951421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50B8D8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85D4F2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00D6C7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48F66E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72D8753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9D74F0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B27747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成本效益相关性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32E292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项目投入成本与预期效益高度相关，符合成本最小化、效益最大化预期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208373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F2DE0A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5162FC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83E8A4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304C87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7129BC3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7BDFB9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F952A9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成本控制措施有效性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B52E51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成本测算科学合理;成本控制制度健全且措施有效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F5D7C3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ED731E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F536A6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B32239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0B95A2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237D51E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1A5426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135CB8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绩效目标合理性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3BB034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57905B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8B409B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08520D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045D02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D404E3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1A8D922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1320E5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26960D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绩效目标明确合理性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04BE6B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是否设定绩效目标 (此项为否决性核心指标); 与部门长期规划目标、年度工作目标一致;项目受益群体定位准确;绩效目标与项目实施内容高度相关。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3926A2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22EC63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959187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450351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F3B082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 w14:paraId="41F0981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640F9B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781905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绩效指标细化量程度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61135E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将项目绩效目标细化量化为具体的绩效指标，包括产出指标和效果指标且符合相关原则，即指标是明确的、可衡量的、可实现的、相关的具有时限的。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DEAD26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CC5788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FCD210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7E7E2D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039CD1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 w14:paraId="516B6D4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120E35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06A695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实施方案可行性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DFFA5E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61CCCA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2841E8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1F4B8B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6D24FB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A385AE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1037015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314604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BEAA0E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实施方案完备性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562583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项目实施方案详实完备;项目实施内容明确具体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814BBF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F6CBD3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5A3600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0E0167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D1B678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4D060B1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2E0BBD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CEA4B4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项目管理规范性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8E4D42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项目设立、退出有明确的时限;项目清理、退出调整有明确的时限和步骤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DF2828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DE455D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50EB65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58A622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35A022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2F24833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6B6F48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1C4CCF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项目管理机构健全有效性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58CE22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项目的管理机构健全;管理机构职责分工明确:项目人员、设施、物资等基础保障条件完备。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FC88BF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BD12BA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5DBA5E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5F3CB5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F545EF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4D277F9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31B969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43E9CD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项目实施计划可行性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CE5A7A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项目实施计划进度节点明确且安排合理;项目实施计划与资金使用计划匹配;实施计划符合全生命周期管理的要求。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B6DC92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E265A9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D1391C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2B8AB1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839335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3819B54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013D85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C8683D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项目管理制度健全性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48D351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保障项目实施的相关管理制度健全、措施有效。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3CD4D2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B22D37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A41C38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D1F539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B777AD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1579C11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562082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DB0FCB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筹资合规性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0BFBC6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B8C259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FAD632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1A50BA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DDC074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56BB82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28D8D3B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671C00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C814C7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筹资来源合规性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E0549D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资金筹措渠道及方式合法合规;资金投入来源结构合理、真实可靠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4B7D6E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7BE188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0CEFED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375B67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4DEF2A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56E1C55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0A9643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521491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财政投入能力风险性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378E69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项目投入规模适当;中请预算在财政可承受能力范围内。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86A344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E5A932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E3FF64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C16EF0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CD7398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248AE558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510311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66BC02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筹资风险可控性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A90556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对筹资风险认识全面;针对预期风险制定相应的应对措施;应对措施可行且有效。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E61521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9334C5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6BBE96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15C185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B3C59F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3B39392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7D60C6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4C1C69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预算编制准确性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C7FABA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309378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EA5A82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31DA34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6C2D42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9910A6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4EA6B6F8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D7C23C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F02B7B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预算编制准确性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331F3D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预算编制真实完整;预算编制内容科学合理、明确细化(与绩效目标、实施方案紧密衔接);预算标准依据充分、测算准确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1492EA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2E6E4E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348BDE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75C44E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1D6E40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52E2094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1EB9B7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9355A6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单位综合评定等级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04E93A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555891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9717E1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462DF3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938B96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E54652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820D4C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1CCA93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单位总体意见</w:t>
            </w:r>
          </w:p>
        </w:tc>
        <w:tc>
          <w:tcPr>
            <w:tcW w:w="2500" w:type="pct"/>
            <w:gridSpan w:val="8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946FFE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无意见</w:t>
            </w:r>
          </w:p>
        </w:tc>
      </w:tr>
      <w:tr w14:paraId="317F988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2CE763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D60F28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部门综合评定等级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21573C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C44D6F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717D30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C2491C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619B13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EE44F9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0" w:type="auto"/>
            <w:noWrap w:val="0"/>
            <w:vAlign w:val="center"/>
          </w:tcPr>
          <w:p w14:paraId="3A6B9EF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6093051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E0BC6E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部门总体意见</w:t>
            </w:r>
          </w:p>
        </w:tc>
        <w:tc>
          <w:tcPr>
            <w:tcW w:w="2500" w:type="pct"/>
            <w:gridSpan w:val="8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60B402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合理利用资金，节约资金</w:t>
            </w:r>
          </w:p>
        </w:tc>
      </w:tr>
      <w:tr w14:paraId="4CEDE74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FADE48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0EF29D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部门评估意见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348A34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A79396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B9C089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F65F3F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CB807C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EB6062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A2A1B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</w:tbl>
    <w:p w14:paraId="2400C0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项目绩效指标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3"/>
        <w:gridCol w:w="1143"/>
        <w:gridCol w:w="1144"/>
        <w:gridCol w:w="1144"/>
        <w:gridCol w:w="1144"/>
        <w:gridCol w:w="1144"/>
        <w:gridCol w:w="1144"/>
        <w:gridCol w:w="1144"/>
        <w:gridCol w:w="240"/>
      </w:tblGrid>
      <w:tr w14:paraId="758516B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gridSpan w:val="8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EA50BD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分解指标</w:t>
            </w:r>
          </w:p>
        </w:tc>
        <w:tc>
          <w:tcPr>
            <w:tcW w:w="625" w:type="pct"/>
            <w:vMerge w:val="restar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58E895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21AAFBE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09AA4E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998DE0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1128F8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BBDEC9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指标值类型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CB0CB5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777167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度量单位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C86E30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指标值内容</w:t>
            </w:r>
          </w:p>
        </w:tc>
        <w:tc>
          <w:tcPr>
            <w:tcW w:w="0" w:type="auto"/>
            <w:noWrap w:val="0"/>
            <w:vAlign w:val="center"/>
          </w:tcPr>
          <w:p w14:paraId="2797E2A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539873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1C948E1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restar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479066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93A37E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CB9DC7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成本控制情况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923D57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≤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E01C1F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5.6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35A8AE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万元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B4750B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5.6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8980F2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01458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B994BE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BCA477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ABD513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494599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AF5223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8004FE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266FF6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FB6585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3A0525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13E1E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244FE65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06E674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27EF27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生态环境成本指标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0A7265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5C104B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04F2F6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715B62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9F6C73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6B2CA0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5646E15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7F3F069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restar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7F59C4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569E07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12C45F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全年灌溉苗木月份数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6EDADB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694114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2BF6A0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431AF6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56FAEE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E9C57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4744542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0E6810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77CA6B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677DF1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灌溉花卉面积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0F231F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C96BB1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393303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848CF9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平方米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B5F701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393303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0FC862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32EA6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3EB99DB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CA69EA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9EE3C7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7431A8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全年灌溉苗木数量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CACCB0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E3086B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62142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365277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株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624EE7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62142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239902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28A75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0BD7B47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57E007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6F92CF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631D4F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全年灌溉苗木次数/月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E4612A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9F2752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A30682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94A713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BF8ED4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5B6A006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6734F53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B9B3C5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5C2587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714626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苗木花卉成活率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BE9BF5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937A94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21B041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789655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67211F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6318590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4E4D6708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4C32DF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9B8D7C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BFE313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灌溉苗木花卉及时率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598756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E55DE6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518F7B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064C46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1D786F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071B148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45FA18D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restar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6C7D8E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8140FC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经济效益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CB4090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ACAF99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2D1F2E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3381F5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141244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0A68FE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93810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0278E2B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B3E3D1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7A14CD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社会效益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BBA486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县城应对突发事件风险意识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676386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26C52D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51149F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9AC576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2513CB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6F9B2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7242F30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319856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1A7E7A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社会效益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D4CEC3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突发事件应急反应能力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9FDAC1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DA1D85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A1C5F0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EDF81C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2ACA8F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D05E0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1F06E7C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ADD116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7D5287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生态效益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0C2F8C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提升县城及造林区绿化覆盖面积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83A25F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3D055C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C27C34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97155F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AEF2E6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6DB8E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3036142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BA0541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4A1822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可持续影响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3C29CC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应急联动机制健全性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AB8942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7EA140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28A979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F396C5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6922EA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74B85F9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099009B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0C8487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37AD59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服务对象满意度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376EE8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参演群众满意度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48A12B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C62F19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0255CE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35BF9E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B25320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FEF30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</w:tbl>
    <w:p w14:paraId="0A6CEC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政策制度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8"/>
        <w:gridCol w:w="1728"/>
        <w:gridCol w:w="1728"/>
        <w:gridCol w:w="1728"/>
        <w:gridCol w:w="1728"/>
      </w:tblGrid>
      <w:tr w14:paraId="2DB4E5E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A4630B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政策名称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095F42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政策文号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846F7A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政策概述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224FA3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政策文件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BF3ED3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上传人</w:t>
            </w:r>
          </w:p>
        </w:tc>
      </w:tr>
    </w:tbl>
    <w:p w14:paraId="096621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项目附件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1440"/>
        <w:gridCol w:w="1440"/>
        <w:gridCol w:w="1440"/>
        <w:gridCol w:w="1440"/>
        <w:gridCol w:w="1439"/>
      </w:tblGrid>
      <w:tr w14:paraId="3E27FBB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F28D27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文号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79EF32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文件名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E55748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类型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54653D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086624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附件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43D585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上传人</w:t>
            </w:r>
          </w:p>
        </w:tc>
      </w:tr>
      <w:tr w14:paraId="49B8E4A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8E6BCB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抗旱车资料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D62096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抗旱车资料.pdf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D8E508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项目主信息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397F57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资金安排文件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6AB2BD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EA3253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经办岗</w:t>
            </w:r>
          </w:p>
        </w:tc>
      </w:tr>
    </w:tbl>
    <w:p w14:paraId="15A98B59"/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74523"/>
    <w:rsid w:val="7CA142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1003</Words>
  <Characters>1108</Characters>
  <TotalTime>0</TotalTime>
  <ScaleCrop>false</ScaleCrop>
  <LinksUpToDate>false</LinksUpToDate>
  <CharactersWithSpaces>1117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2026-02-26T02:24:27Z</dcterms:created>
  <dc:creator>lenovo</dc:creator>
  <cp:lastModifiedBy>夏日阳光</cp:lastModifiedBy>
  <dcterms:modified xsi:type="dcterms:W3CDTF">2026-02-26T06:48:28Z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AEC62D4C2C0C44D5BDEE856EA6AA66C6_13</vt:lpwstr>
  </property>
</Properties>
</file>